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76299C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25</w:t>
            </w:r>
            <w:bookmarkStart w:id="2" w:name="_GoBack"/>
            <w:bookmarkEnd w:id="2"/>
            <w:r w:rsidR="004C3628">
              <w:rPr>
                <w:sz w:val="16"/>
              </w:rPr>
              <w:t xml:space="preserve">. </w:t>
            </w:r>
            <w:r w:rsidR="0065480F">
              <w:rPr>
                <w:sz w:val="16"/>
              </w:rPr>
              <w:t xml:space="preserve">september </w:t>
            </w:r>
            <w:r w:rsidR="004C3628">
              <w:rPr>
                <w:sz w:val="16"/>
              </w:rPr>
              <w:t>2015</w:t>
            </w:r>
            <w:bookmarkEnd w:id="1"/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Kontor"/>
            <w:bookmarkEnd w:id="3"/>
          </w:p>
          <w:p w:rsidR="00163A8D" w:rsidRDefault="00163A8D" w:rsidP="004C3628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</w:pPr>
          </w:p>
        </w:tc>
      </w:tr>
    </w:tbl>
    <w:tbl>
      <w:tblPr>
        <w:tblW w:w="725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Tr="00226693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4" w:name="PCAmodtager"/>
            <w:bookmarkEnd w:id="4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226693" w:rsidRDefault="00226693" w:rsidP="00226693">
      <w:pPr>
        <w:pStyle w:val="Overskrift1"/>
      </w:pPr>
      <w:bookmarkStart w:id="5" w:name="PCAoverskrift"/>
      <w:bookmarkStart w:id="6" w:name="PCAStart"/>
      <w:bookmarkStart w:id="7" w:name="Overskrift"/>
      <w:bookmarkEnd w:id="5"/>
      <w:bookmarkEnd w:id="6"/>
      <w:bookmarkEnd w:id="7"/>
      <w:r>
        <w:t>Ansøgning om anvendelse af metode 2 eller en kombination af metode 1 og 2 til opgørelse af koncernsolvens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Selskabsnavn</w:t>
            </w:r>
            <w:r w:rsidR="00226693">
              <w:rPr>
                <w:rFonts w:cs="Arial"/>
                <w:snapToGrid w:val="0"/>
                <w:color w:val="000000"/>
              </w:rPr>
              <w:t xml:space="preserve"> på </w:t>
            </w:r>
            <w:r w:rsidR="0065480F">
              <w:rPr>
                <w:rFonts w:cs="Arial"/>
                <w:snapToGrid w:val="0"/>
                <w:color w:val="000000"/>
              </w:rPr>
              <w:t xml:space="preserve">den </w:t>
            </w:r>
            <w:r w:rsidR="00226693">
              <w:rPr>
                <w:rFonts w:cs="Arial"/>
                <w:snapToGrid w:val="0"/>
                <w:color w:val="000000"/>
              </w:rPr>
              <w:t>øve</w:t>
            </w:r>
            <w:r w:rsidR="00226693">
              <w:rPr>
                <w:rFonts w:cs="Arial"/>
                <w:snapToGrid w:val="0"/>
                <w:color w:val="000000"/>
              </w:rPr>
              <w:t>r</w:t>
            </w:r>
            <w:r w:rsidR="00226693">
              <w:rPr>
                <w:rFonts w:cs="Arial"/>
                <w:snapToGrid w:val="0"/>
                <w:color w:val="000000"/>
              </w:rPr>
              <w:t>ste modervirksomhed i ko</w:t>
            </w:r>
            <w:r w:rsidR="00226693">
              <w:rPr>
                <w:rFonts w:cs="Arial"/>
                <w:snapToGrid w:val="0"/>
                <w:color w:val="000000"/>
              </w:rPr>
              <w:t>n</w:t>
            </w:r>
            <w:r w:rsidR="00226693">
              <w:rPr>
                <w:rFonts w:cs="Arial"/>
                <w:snapToGrid w:val="0"/>
                <w:color w:val="000000"/>
              </w:rPr>
              <w:t>cernen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FD75E4" w:rsidP="00CA42DE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</w:t>
            </w:r>
            <w:r w:rsidR="004C3628">
              <w:rPr>
                <w:rFonts w:cs="Arial"/>
                <w:snapToGrid w:val="0"/>
              </w:rPr>
              <w:t>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B11B52" w:rsidRDefault="00B11B52" w:rsidP="004C3628"/>
    <w:p w:rsidR="00504138" w:rsidRDefault="00B11B52" w:rsidP="004C3628">
      <w:pPr>
        <w:rPr>
          <w:rFonts w:cs="Arial"/>
        </w:rPr>
      </w:pPr>
      <w:r>
        <w:t>Anvendelsen af metode 2 (fradrag og sammenlægning) eller en kombination af metode 1 (</w:t>
      </w:r>
      <w:r>
        <w:rPr>
          <w:bCs/>
        </w:rPr>
        <w:t xml:space="preserve">regnskabsmæssig konsolidering) </w:t>
      </w:r>
      <w:r>
        <w:t>og metode 2 til opgørelse af koncernsolvens kræver Finanstilsynets godkendelse</w:t>
      </w:r>
      <w:r w:rsidR="0065480F">
        <w:t xml:space="preserve">, </w:t>
      </w:r>
      <w:r w:rsidR="0065480F" w:rsidRPr="0065480F">
        <w:t xml:space="preserve">jf. § 3, stk. 2, i </w:t>
      </w:r>
      <w:r w:rsidR="009B3876">
        <w:t>b</w:t>
      </w:r>
      <w:r w:rsidR="0065480F" w:rsidRPr="0065480F">
        <w:t>e</w:t>
      </w:r>
      <w:r w:rsidR="0065480F" w:rsidRPr="0065480F">
        <w:t>kendtgørelse om opgørelse af kapitalgrundlag og solvenskapitalkrav for koncerner</w:t>
      </w:r>
      <w:r w:rsidRPr="0065480F">
        <w:t xml:space="preserve">. </w:t>
      </w:r>
    </w:p>
    <w:p w:rsidR="0065480F" w:rsidRDefault="0065480F" w:rsidP="004C3628">
      <w:pPr>
        <w:rPr>
          <w:rFonts w:cs="Arial"/>
        </w:rPr>
      </w:pPr>
    </w:p>
    <w:p w:rsidR="00F44F1D" w:rsidRDefault="00F44F1D" w:rsidP="00F44F1D">
      <w:pPr>
        <w:rPr>
          <w:rFonts w:cs="Arial"/>
        </w:rPr>
      </w:pPr>
      <w:r>
        <w:rPr>
          <w:rFonts w:cs="Arial"/>
        </w:rPr>
        <w:t>Ansøgning om anvendelse af metode 2 eller en kombination af metode 1 og 2 til opgørelse af koncernsolvens skal behandles af bestyrelsen i den øve</w:t>
      </w:r>
      <w:r>
        <w:rPr>
          <w:rFonts w:cs="Arial"/>
        </w:rPr>
        <w:t>r</w:t>
      </w:r>
      <w:r>
        <w:rPr>
          <w:rFonts w:cs="Arial"/>
        </w:rPr>
        <w:t>ste modervirksomhed i koncernen, inden den indsendes til Finanstilsynet.</w:t>
      </w:r>
    </w:p>
    <w:p w:rsidR="005A59C2" w:rsidRDefault="005A59C2" w:rsidP="004C3628">
      <w:pPr>
        <w:rPr>
          <w:rFonts w:cs="Arial"/>
        </w:rPr>
      </w:pPr>
    </w:p>
    <w:p w:rsidR="00F44F1D" w:rsidRDefault="00F44F1D" w:rsidP="004C3628">
      <w:pPr>
        <w:rPr>
          <w:rFonts w:cs="Arial"/>
        </w:rPr>
      </w:pPr>
      <w:r>
        <w:rPr>
          <w:rFonts w:cs="Arial"/>
        </w:rPr>
        <w:t>Den øverste modervirksomhed i koncernen</w:t>
      </w:r>
      <w:r w:rsidR="00743E9B">
        <w:rPr>
          <w:rFonts w:cs="Arial"/>
        </w:rPr>
        <w:t>, jf. § 175 b i lov om finansiel virksomhed,</w:t>
      </w:r>
      <w:r>
        <w:rPr>
          <w:rFonts w:cs="Arial"/>
        </w:rPr>
        <w:t xml:space="preserve"> skal ansøge for hvert datterselskab, der ønskes indregnet efter metode 2. Der kan således ikke ansøges om anvendelse af metode 2 på delkoncern/konsolideret niveau.</w:t>
      </w:r>
    </w:p>
    <w:p w:rsidR="00F44F1D" w:rsidRDefault="00F44F1D" w:rsidP="004C3628">
      <w:pPr>
        <w:rPr>
          <w:rFonts w:cs="Arial"/>
        </w:rPr>
      </w:pPr>
    </w:p>
    <w:p w:rsidR="007767A3" w:rsidRDefault="00504138" w:rsidP="004C3628">
      <w:pPr>
        <w:rPr>
          <w:rFonts w:cs="Arial"/>
        </w:rPr>
      </w:pPr>
      <w:r>
        <w:rPr>
          <w:rFonts w:cs="Arial"/>
        </w:rPr>
        <w:t>Finanstilsynet forventer</w:t>
      </w:r>
      <w:r w:rsidR="0065480F">
        <w:rPr>
          <w:rFonts w:cs="Arial"/>
        </w:rPr>
        <w:t>,</w:t>
      </w:r>
      <w:r>
        <w:rPr>
          <w:rFonts w:cs="Arial"/>
        </w:rPr>
        <w:t xml:space="preserve"> at behandlingen af ansøgningen kan afsluttes s</w:t>
      </w:r>
      <w:r>
        <w:rPr>
          <w:rFonts w:cs="Arial"/>
        </w:rPr>
        <w:t>e</w:t>
      </w:r>
      <w:r>
        <w:rPr>
          <w:rFonts w:cs="Arial"/>
        </w:rPr>
        <w:t xml:space="preserve">nest 2 måneder efter modtagelsen. </w:t>
      </w:r>
    </w:p>
    <w:p w:rsidR="00226693" w:rsidRDefault="00226693" w:rsidP="004C3628">
      <w:pPr>
        <w:rPr>
          <w:rFonts w:cs="Arial"/>
        </w:rPr>
      </w:pPr>
    </w:p>
    <w:p w:rsidR="00F44F1D" w:rsidRDefault="00226693" w:rsidP="00226693">
      <w:pPr>
        <w:rPr>
          <w:rFonts w:cs="Arial"/>
        </w:rPr>
      </w:pPr>
      <w:r>
        <w:rPr>
          <w:rFonts w:cs="Arial"/>
        </w:rPr>
        <w:t xml:space="preserve">Nedenstående skema angiver de redegørelser og dokumenter, </w:t>
      </w:r>
      <w:r w:rsidR="00743E9B">
        <w:rPr>
          <w:rFonts w:cs="Arial"/>
        </w:rPr>
        <w:t xml:space="preserve">som </w:t>
      </w:r>
      <w:r>
        <w:rPr>
          <w:rFonts w:cs="Arial"/>
        </w:rPr>
        <w:t>den øverste modervirksomhed i koncernen skal indsende i forbindelse med a</w:t>
      </w:r>
      <w:r>
        <w:rPr>
          <w:rFonts w:cs="Arial"/>
        </w:rPr>
        <w:t>n</w:t>
      </w:r>
      <w:r>
        <w:rPr>
          <w:rFonts w:cs="Arial"/>
        </w:rPr>
        <w:t>søgningen. De nærmere bestemmelser om opgørelse af koncernsolvens fremgår af bekendtgørelse om opgørelse af kapitalgrundlag og solvenskap</w:t>
      </w:r>
      <w:r>
        <w:rPr>
          <w:rFonts w:cs="Arial"/>
        </w:rPr>
        <w:t>i</w:t>
      </w:r>
      <w:r>
        <w:rPr>
          <w:rFonts w:cs="Arial"/>
        </w:rPr>
        <w:lastRenderedPageBreak/>
        <w:t>talkrav for koncerner</w:t>
      </w:r>
      <w:r w:rsidR="0065480F">
        <w:rPr>
          <w:rFonts w:cs="Arial"/>
        </w:rPr>
        <w:t xml:space="preserve"> og </w:t>
      </w:r>
      <w:r w:rsidR="0065480F" w:rsidRPr="0065480F">
        <w:rPr>
          <w:rFonts w:cs="Arial"/>
        </w:rPr>
        <w:t>artikel 329-342 i Kommissionens delegerede fo</w:t>
      </w:r>
      <w:r w:rsidR="0065480F" w:rsidRPr="0065480F">
        <w:rPr>
          <w:rFonts w:cs="Arial"/>
        </w:rPr>
        <w:t>r</w:t>
      </w:r>
      <w:r w:rsidR="0065480F" w:rsidRPr="0065480F">
        <w:rPr>
          <w:rFonts w:cs="Arial"/>
        </w:rPr>
        <w:t>ordning (EU) 2015/35 af 10. oktober 2014 om supplerende regler til Europa-Parlamentets og Rådets direktiv 2009/138/EF om adgang til og udøvelse af forsikrings- og genforsikringsvirksomhed (Solvens II)</w:t>
      </w:r>
      <w:r>
        <w:rPr>
          <w:rFonts w:cs="Arial"/>
        </w:rPr>
        <w:t>. Såfremt det enkelte spørgsmål i skemaet ikke vurderes at være relevant for selskabet, skal dette angives som svar på spørgsmålet.</w:t>
      </w:r>
    </w:p>
    <w:p w:rsidR="00F44F1D" w:rsidRDefault="00F44F1D" w:rsidP="00226693">
      <w:pPr>
        <w:rPr>
          <w:rFonts w:cs="Arial"/>
        </w:rPr>
      </w:pPr>
    </w:p>
    <w:p w:rsidR="00226693" w:rsidRDefault="00226693" w:rsidP="004C3628">
      <w:pPr>
        <w:rPr>
          <w:rFonts w:cs="Arial"/>
        </w:rPr>
      </w:pPr>
      <w:r>
        <w:rPr>
          <w:rFonts w:cs="Arial"/>
        </w:rPr>
        <w:t xml:space="preserve">De steder i </w:t>
      </w:r>
      <w:r w:rsidR="0065480F">
        <w:rPr>
          <w:rFonts w:cs="Arial"/>
        </w:rPr>
        <w:t>ansøgningsskemaet</w:t>
      </w:r>
      <w:r>
        <w:rPr>
          <w:rFonts w:cs="Arial"/>
        </w:rPr>
        <w:t>, hvor begrebet ”nationale regler” anvendes, refererer dette til nationale regler i</w:t>
      </w:r>
      <w:r w:rsidR="0065480F">
        <w:rPr>
          <w:rFonts w:cs="Arial"/>
        </w:rPr>
        <w:t xml:space="preserve"> et</w:t>
      </w:r>
      <w:r>
        <w:rPr>
          <w:rFonts w:cs="Arial"/>
        </w:rPr>
        <w:t xml:space="preserve"> tredjeland, der ikke er vurderet som værende en ækvivalent eller foreløbig ækvivalent jurisdiktion.</w:t>
      </w:r>
    </w:p>
    <w:p w:rsidR="004C3628" w:rsidRPr="00F23784" w:rsidRDefault="004C3628" w:rsidP="004C3628">
      <w:pPr>
        <w:rPr>
          <w:rFonts w:cs="Arial"/>
        </w:rPr>
      </w:pPr>
    </w:p>
    <w:tbl>
      <w:tblPr>
        <w:tblStyle w:val="Tabel-Gitter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4C3628" w:rsidRPr="00DE177D" w:rsidTr="00AD714E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B11B52" w:rsidRPr="00B11B52" w:rsidRDefault="00B11B52" w:rsidP="00AD714E">
            <w:pPr>
              <w:spacing w:after="140"/>
              <w:ind w:left="318" w:hanging="284"/>
              <w:rPr>
                <w:b/>
                <w:lang w:val="da-DK"/>
              </w:rPr>
            </w:pPr>
            <w:r w:rsidRPr="00B11B52">
              <w:rPr>
                <w:rFonts w:cs="Arial"/>
                <w:b/>
                <w:szCs w:val="21"/>
                <w:lang w:val="da-DK"/>
              </w:rPr>
              <w:t>1.</w:t>
            </w:r>
            <w:r>
              <w:rPr>
                <w:rFonts w:cs="Arial"/>
                <w:b/>
                <w:szCs w:val="21"/>
                <w:lang w:val="da-DK"/>
              </w:rPr>
              <w:t xml:space="preserve"> </w:t>
            </w:r>
            <w:r w:rsidRPr="00B11B52">
              <w:rPr>
                <w:rFonts w:cs="Arial"/>
                <w:b/>
                <w:szCs w:val="21"/>
                <w:lang w:val="da-DK"/>
              </w:rPr>
              <w:t>Generel information om det eller de selskaber, der skal indregnes efter metode 2</w:t>
            </w:r>
          </w:p>
          <w:p w:rsidR="00B11B52" w:rsidRPr="00BB143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b/>
              </w:rPr>
            </w:pPr>
            <w:proofErr w:type="spellStart"/>
            <w:r w:rsidRPr="00BB1432">
              <w:t>Selskabets</w:t>
            </w:r>
            <w:proofErr w:type="spellEnd"/>
            <w:r w:rsidRPr="00BB1432">
              <w:t xml:space="preserve"> </w:t>
            </w:r>
            <w:proofErr w:type="spellStart"/>
            <w:r w:rsidRPr="00BB1432">
              <w:t>navn</w:t>
            </w:r>
            <w:proofErr w:type="spellEnd"/>
          </w:p>
          <w:p w:rsidR="00B11B52" w:rsidRPr="00BB143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b/>
              </w:rPr>
            </w:pPr>
            <w:proofErr w:type="spellStart"/>
            <w:r w:rsidRPr="00BB1432">
              <w:t>Selskabets</w:t>
            </w:r>
            <w:proofErr w:type="spellEnd"/>
            <w:r w:rsidRPr="00BB1432">
              <w:t xml:space="preserve"> CVR-</w:t>
            </w:r>
            <w:proofErr w:type="spellStart"/>
            <w:r w:rsidRPr="00BB1432">
              <w:t>nummer</w:t>
            </w:r>
            <w:proofErr w:type="spellEnd"/>
          </w:p>
          <w:p w:rsidR="00B11B52" w:rsidRPr="00BB143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b/>
              </w:rPr>
            </w:pPr>
            <w:proofErr w:type="spellStart"/>
            <w:r w:rsidRPr="00BB1432">
              <w:t>Jurisdiktion</w:t>
            </w:r>
            <w:proofErr w:type="spellEnd"/>
            <w:r w:rsidRPr="00BB1432">
              <w:t xml:space="preserve">, </w:t>
            </w:r>
            <w:proofErr w:type="spellStart"/>
            <w:r w:rsidRPr="00BB1432">
              <w:t>hvor</w:t>
            </w:r>
            <w:proofErr w:type="spellEnd"/>
            <w:r w:rsidRPr="00BB1432">
              <w:t xml:space="preserve"> </w:t>
            </w:r>
            <w:proofErr w:type="spellStart"/>
            <w:r w:rsidRPr="00BB1432">
              <w:t>selskabet</w:t>
            </w:r>
            <w:proofErr w:type="spellEnd"/>
            <w:r w:rsidRPr="00BB1432">
              <w:t xml:space="preserve"> </w:t>
            </w:r>
            <w:proofErr w:type="spellStart"/>
            <w:r w:rsidRPr="00BB1432">
              <w:t>har</w:t>
            </w:r>
            <w:proofErr w:type="spellEnd"/>
            <w:r w:rsidRPr="00BB1432">
              <w:t xml:space="preserve"> </w:t>
            </w:r>
            <w:proofErr w:type="spellStart"/>
            <w:r w:rsidRPr="00BB1432">
              <w:t>tilladelse</w:t>
            </w:r>
            <w:proofErr w:type="spellEnd"/>
          </w:p>
          <w:p w:rsidR="00B11B52" w:rsidRPr="00B11B5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b/>
                <w:lang w:val="da-DK"/>
              </w:rPr>
            </w:pPr>
            <w:r w:rsidRPr="00B11B52">
              <w:rPr>
                <w:lang w:val="da-DK"/>
              </w:rPr>
              <w:t>Den nationale kompetente myndighed, der fører tilsyn med selskabet</w:t>
            </w:r>
          </w:p>
          <w:p w:rsidR="00B11B52" w:rsidRPr="00B11B5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b/>
                <w:lang w:val="da-DK"/>
              </w:rPr>
            </w:pPr>
            <w:r w:rsidRPr="00B11B52">
              <w:rPr>
                <w:lang w:val="da-DK"/>
              </w:rPr>
              <w:t>Myndigheden, der har givet selskabet tilladelsen (hvis forskellig fra (d)</w:t>
            </w:r>
          </w:p>
          <w:p w:rsidR="00B11B52" w:rsidRPr="00B11B5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lang w:val="da-DK"/>
              </w:rPr>
            </w:pPr>
            <w:r w:rsidRPr="00B11B52">
              <w:rPr>
                <w:lang w:val="da-DK"/>
              </w:rPr>
              <w:t>Organisationsdiagram for koncernen, hvor selskabet fremhæves</w:t>
            </w:r>
          </w:p>
          <w:p w:rsidR="00B11B52" w:rsidRPr="0019244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</w:pPr>
            <w:proofErr w:type="spellStart"/>
            <w:r>
              <w:t>Kapitalgrundlag</w:t>
            </w:r>
            <w:proofErr w:type="spellEnd"/>
          </w:p>
          <w:p w:rsidR="00B11B52" w:rsidRPr="0019244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</w:pPr>
            <w:proofErr w:type="spellStart"/>
            <w:r>
              <w:t>Solvenskapitalkrav</w:t>
            </w:r>
            <w:proofErr w:type="spellEnd"/>
          </w:p>
          <w:p w:rsidR="004C3628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lang w:val="da-DK"/>
              </w:rPr>
            </w:pPr>
            <w:r w:rsidRPr="00B11B52">
              <w:rPr>
                <w:lang w:val="da-DK"/>
              </w:rPr>
              <w:t xml:space="preserve">Eventuelle simplifikationer, der anvendes i </w:t>
            </w:r>
            <w:r w:rsidR="0065480F">
              <w:rPr>
                <w:lang w:val="da-DK"/>
              </w:rPr>
              <w:t>opgørelsen</w:t>
            </w:r>
            <w:r w:rsidR="0065480F" w:rsidRPr="00B11B52">
              <w:rPr>
                <w:lang w:val="da-DK"/>
              </w:rPr>
              <w:t xml:space="preserve"> </w:t>
            </w:r>
            <w:r w:rsidRPr="00B11B52">
              <w:rPr>
                <w:lang w:val="da-DK"/>
              </w:rPr>
              <w:t>af</w:t>
            </w:r>
            <w:r w:rsidR="00CC3392">
              <w:rPr>
                <w:lang w:val="da-DK"/>
              </w:rPr>
              <w:t xml:space="preserve"> solvenskap</w:t>
            </w:r>
            <w:r w:rsidR="00CC3392">
              <w:rPr>
                <w:lang w:val="da-DK"/>
              </w:rPr>
              <w:t>i</w:t>
            </w:r>
            <w:r w:rsidR="00CC3392">
              <w:rPr>
                <w:lang w:val="da-DK"/>
              </w:rPr>
              <w:t>talkravet</w:t>
            </w:r>
          </w:p>
          <w:p w:rsidR="009B3876" w:rsidRDefault="009B3876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lang w:val="da-DK"/>
              </w:rPr>
            </w:pPr>
            <w:r>
              <w:rPr>
                <w:lang w:val="da-DK"/>
              </w:rPr>
              <w:t>Eventuel anvendelse af overgangsregler</w:t>
            </w:r>
          </w:p>
          <w:p w:rsidR="00B11B52" w:rsidRDefault="00B11B52" w:rsidP="00B11B52">
            <w:pPr>
              <w:pStyle w:val="Listeafsnit"/>
              <w:numPr>
                <w:ilvl w:val="0"/>
                <w:numId w:val="7"/>
              </w:numPr>
              <w:spacing w:after="140"/>
              <w:contextualSpacing w:val="0"/>
              <w:rPr>
                <w:lang w:val="da-DK"/>
              </w:rPr>
            </w:pPr>
            <w:r>
              <w:rPr>
                <w:lang w:val="da-DK"/>
              </w:rPr>
              <w:t>Baggrunden for ansøgningen</w:t>
            </w:r>
          </w:p>
          <w:p w:rsidR="004F516C" w:rsidRDefault="004F516C" w:rsidP="00B11B52">
            <w:pPr>
              <w:spacing w:after="140"/>
              <w:rPr>
                <w:rFonts w:cs="Arial"/>
                <w:szCs w:val="21"/>
                <w:lang w:val="da-DK"/>
              </w:rPr>
            </w:pPr>
          </w:p>
          <w:p w:rsidR="00B11B52" w:rsidRPr="00B11B52" w:rsidRDefault="00B11B52" w:rsidP="00B11B52">
            <w:pPr>
              <w:spacing w:after="140"/>
              <w:rPr>
                <w:lang w:val="da-DK"/>
              </w:rPr>
            </w:pPr>
            <w:r w:rsidRPr="00B11B52">
              <w:rPr>
                <w:rFonts w:cs="Arial"/>
                <w:szCs w:val="21"/>
                <w:lang w:val="da-DK"/>
              </w:rPr>
              <w:t>Særligt vedr. g)-</w:t>
            </w:r>
            <w:r w:rsidR="009B3876">
              <w:rPr>
                <w:rFonts w:cs="Arial"/>
                <w:szCs w:val="21"/>
                <w:lang w:val="da-DK"/>
              </w:rPr>
              <w:t>j</w:t>
            </w:r>
            <w:r w:rsidRPr="00B11B52">
              <w:rPr>
                <w:rFonts w:cs="Arial"/>
                <w:szCs w:val="21"/>
                <w:lang w:val="da-DK"/>
              </w:rPr>
              <w:t xml:space="preserve">): </w:t>
            </w:r>
            <w:r w:rsidRPr="00B11B52">
              <w:rPr>
                <w:sz w:val="22"/>
                <w:lang w:val="da-DK"/>
              </w:rPr>
              <w:t>Hvis selskabet anvender nationale regler, angiv da den approksimative størrelse af basiskapitalgrundlaget og solvensk</w:t>
            </w:r>
            <w:r w:rsidRPr="00B11B52">
              <w:rPr>
                <w:sz w:val="22"/>
                <w:lang w:val="da-DK"/>
              </w:rPr>
              <w:t>a</w:t>
            </w:r>
            <w:r w:rsidRPr="00B11B52">
              <w:rPr>
                <w:sz w:val="22"/>
                <w:lang w:val="da-DK"/>
              </w:rPr>
              <w:t>pitalkravet.</w:t>
            </w:r>
          </w:p>
        </w:tc>
      </w:tr>
      <w:tr w:rsidR="004C3628" w:rsidRPr="00017D95" w:rsidTr="00AD714E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CD6851" w:rsidRPr="00017D95" w:rsidRDefault="00CD6851" w:rsidP="00CD685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A59C2" w:rsidRDefault="005A59C2" w:rsidP="00CA42DE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B3876" w:rsidRPr="00017D95" w:rsidRDefault="009B3876" w:rsidP="00CA42DE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C3628" w:rsidRPr="00A71782" w:rsidTr="00AD714E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C3628" w:rsidRDefault="00B11B52" w:rsidP="00AD714E">
            <w:pPr>
              <w:spacing w:before="100" w:beforeAutospacing="1" w:after="100" w:afterAutospacing="1" w:line="240" w:lineRule="auto"/>
              <w:ind w:left="318" w:hanging="284"/>
              <w:jc w:val="left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2. </w:t>
            </w:r>
            <w:r w:rsidR="00036C2B" w:rsidRPr="00B11B52">
              <w:rPr>
                <w:b/>
                <w:sz w:val="22"/>
                <w:szCs w:val="22"/>
                <w:lang w:val="da-DK"/>
              </w:rPr>
              <w:t xml:space="preserve">Dokumentation vedr. </w:t>
            </w:r>
            <w:r w:rsidR="00036C2B" w:rsidRPr="00036C2B">
              <w:rPr>
                <w:b/>
                <w:sz w:val="22"/>
                <w:szCs w:val="22"/>
                <w:lang w:val="da-DK"/>
              </w:rPr>
              <w:t>forhold behandlet i</w:t>
            </w:r>
            <w:r w:rsidR="00036C2B" w:rsidRPr="00B11B52">
              <w:rPr>
                <w:rFonts w:cs="Arial"/>
                <w:b/>
                <w:szCs w:val="21"/>
                <w:lang w:val="da-DK"/>
              </w:rPr>
              <w:t xml:space="preserve"> </w:t>
            </w:r>
            <w:r w:rsidRPr="00B11B52">
              <w:rPr>
                <w:b/>
                <w:sz w:val="22"/>
                <w:lang w:val="da-DK"/>
              </w:rPr>
              <w:t>Kommissionens d</w:t>
            </w:r>
            <w:r w:rsidRPr="00B11B52">
              <w:rPr>
                <w:b/>
                <w:sz w:val="22"/>
                <w:lang w:val="da-DK"/>
              </w:rPr>
              <w:t>e</w:t>
            </w:r>
            <w:r w:rsidRPr="00B11B52">
              <w:rPr>
                <w:b/>
                <w:sz w:val="22"/>
                <w:lang w:val="da-DK"/>
              </w:rPr>
              <w:t>legerede forordning (EU) 2015/35 af 10. oktober 2014 om su</w:t>
            </w:r>
            <w:r w:rsidRPr="00B11B52">
              <w:rPr>
                <w:b/>
                <w:sz w:val="22"/>
                <w:lang w:val="da-DK"/>
              </w:rPr>
              <w:t>p</w:t>
            </w:r>
            <w:r w:rsidRPr="00B11B52">
              <w:rPr>
                <w:b/>
                <w:sz w:val="22"/>
                <w:lang w:val="da-DK"/>
              </w:rPr>
              <w:t>plerende regler til Europa-Parlamentets og Rådets direktiv 2009/138/EF om adgang til og udøvelse af forsikrings- og ge</w:t>
            </w:r>
            <w:r w:rsidRPr="00B11B52">
              <w:rPr>
                <w:b/>
                <w:sz w:val="22"/>
                <w:lang w:val="da-DK"/>
              </w:rPr>
              <w:t>n</w:t>
            </w:r>
            <w:r w:rsidRPr="00B11B52">
              <w:rPr>
                <w:b/>
                <w:sz w:val="22"/>
                <w:lang w:val="da-DK"/>
              </w:rPr>
              <w:t>forsikringsvirksomhed (Solvens II), artikel</w:t>
            </w:r>
            <w:r w:rsidR="005A59C2">
              <w:rPr>
                <w:b/>
                <w:sz w:val="22"/>
                <w:lang w:val="da-DK"/>
              </w:rPr>
              <w:t xml:space="preserve"> 328</w:t>
            </w:r>
          </w:p>
          <w:p w:rsidR="000832AF" w:rsidRPr="00AD714E" w:rsidRDefault="000832AF" w:rsidP="00B11B52">
            <w:pPr>
              <w:spacing w:before="100" w:beforeAutospacing="1" w:after="100" w:afterAutospacing="1" w:line="240" w:lineRule="auto"/>
              <w:ind w:left="34" w:hanging="34"/>
              <w:jc w:val="left"/>
              <w:rPr>
                <w:b/>
                <w:i/>
                <w:sz w:val="22"/>
                <w:szCs w:val="22"/>
                <w:lang w:val="da-DK"/>
              </w:rPr>
            </w:pPr>
            <w:r w:rsidRPr="00AD714E">
              <w:rPr>
                <w:i/>
                <w:sz w:val="22"/>
                <w:szCs w:val="22"/>
                <w:lang w:val="da-DK"/>
              </w:rPr>
              <w:lastRenderedPageBreak/>
              <w:t>Udfyldes kun, såfremt ansøgningen er begrundet i forhold berørt i fo</w:t>
            </w:r>
            <w:r w:rsidRPr="00AD714E">
              <w:rPr>
                <w:i/>
                <w:sz w:val="22"/>
                <w:szCs w:val="22"/>
                <w:lang w:val="da-DK"/>
              </w:rPr>
              <w:t>r</w:t>
            </w:r>
            <w:r w:rsidRPr="00AD714E">
              <w:rPr>
                <w:i/>
                <w:sz w:val="22"/>
                <w:szCs w:val="22"/>
                <w:lang w:val="da-DK"/>
              </w:rPr>
              <w:t>ordningens artikel 328.</w:t>
            </w:r>
          </w:p>
        </w:tc>
      </w:tr>
      <w:tr w:rsidR="004C3628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B11B52" w:rsidRP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lang w:val="da-DK"/>
              </w:rPr>
            </w:pPr>
            <w:r w:rsidRPr="00B11B52">
              <w:rPr>
                <w:sz w:val="22"/>
                <w:lang w:val="da-DK"/>
              </w:rPr>
              <w:lastRenderedPageBreak/>
              <w:t xml:space="preserve">Angiv, hvordan selskabet forholder sig til artikel 328, stk. 1, litra a: </w:t>
            </w:r>
          </w:p>
          <w:p w:rsidR="00B11B52" w:rsidRPr="00B11B52" w:rsidRDefault="0065480F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b/>
                <w:i/>
                <w:sz w:val="22"/>
                <w:lang w:val="da-DK"/>
              </w:rPr>
            </w:pPr>
            <w:r>
              <w:rPr>
                <w:i/>
                <w:sz w:val="22"/>
                <w:lang w:val="da-DK"/>
              </w:rPr>
              <w:t>"</w:t>
            </w:r>
            <w:r w:rsidR="00B11B52" w:rsidRPr="00B11B52">
              <w:rPr>
                <w:i/>
                <w:sz w:val="22"/>
                <w:lang w:val="da-DK"/>
              </w:rPr>
              <w:t>om omfanget og kvaliteten af de tilgængelige oplysninger om et ti</w:t>
            </w:r>
            <w:r w:rsidR="00B11B52" w:rsidRPr="00B11B52">
              <w:rPr>
                <w:i/>
                <w:sz w:val="22"/>
                <w:lang w:val="da-DK"/>
              </w:rPr>
              <w:t>l</w:t>
            </w:r>
            <w:r w:rsidR="00B11B52" w:rsidRPr="00B11B52">
              <w:rPr>
                <w:i/>
                <w:sz w:val="22"/>
                <w:lang w:val="da-DK"/>
              </w:rPr>
              <w:t>knyttet selskab ikke er tilstrækkelig til at anvende metode 1</w:t>
            </w:r>
            <w:r>
              <w:rPr>
                <w:i/>
                <w:sz w:val="22"/>
                <w:lang w:val="da-DK"/>
              </w:rPr>
              <w:t>".</w:t>
            </w:r>
          </w:p>
          <w:p w:rsidR="00B11B52" w:rsidRP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b/>
                <w:i/>
                <w:sz w:val="22"/>
                <w:lang w:val="da-DK"/>
              </w:rPr>
            </w:pPr>
          </w:p>
          <w:p w:rsid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Fremhæv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følgende</w:t>
            </w:r>
            <w:proofErr w:type="spellEnd"/>
            <w:r>
              <w:rPr>
                <w:sz w:val="22"/>
              </w:rPr>
              <w:t xml:space="preserve">: </w:t>
            </w:r>
          </w:p>
          <w:p w:rsidR="00B11B52" w:rsidRPr="00B11B52" w:rsidRDefault="00B11B52" w:rsidP="00B11B52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b/>
                <w:sz w:val="22"/>
                <w:lang w:val="da-DK"/>
              </w:rPr>
            </w:pPr>
            <w:r w:rsidRPr="00B11B52">
              <w:rPr>
                <w:sz w:val="22"/>
                <w:lang w:val="da-DK"/>
              </w:rPr>
              <w:t xml:space="preserve">Alle begrænsninger i omfanget og kvaliteten (i særdeleshed i forhold til </w:t>
            </w:r>
            <w:proofErr w:type="spellStart"/>
            <w:r w:rsidRPr="00B11B52">
              <w:rPr>
                <w:sz w:val="22"/>
                <w:lang w:val="da-DK"/>
              </w:rPr>
              <w:t>granulariteten</w:t>
            </w:r>
            <w:proofErr w:type="spellEnd"/>
            <w:r w:rsidRPr="00B11B52">
              <w:rPr>
                <w:sz w:val="22"/>
                <w:lang w:val="da-DK"/>
              </w:rPr>
              <w:t xml:space="preserve"> krævet under Solvens II) af oplysni</w:t>
            </w:r>
            <w:r w:rsidRPr="00B11B52">
              <w:rPr>
                <w:sz w:val="22"/>
                <w:lang w:val="da-DK"/>
              </w:rPr>
              <w:t>n</w:t>
            </w:r>
            <w:r w:rsidRPr="00B11B52">
              <w:rPr>
                <w:sz w:val="22"/>
                <w:lang w:val="da-DK"/>
              </w:rPr>
              <w:t>ger om selskabet, der vil bevirke, at anvendelse af metode 1 er uhensigtsmæssig</w:t>
            </w:r>
            <w:r w:rsidR="0065480F">
              <w:rPr>
                <w:sz w:val="22"/>
                <w:lang w:val="da-DK"/>
              </w:rPr>
              <w:t>.</w:t>
            </w:r>
          </w:p>
          <w:p w:rsidR="004C3628" w:rsidRPr="00B11B52" w:rsidRDefault="0065480F" w:rsidP="008D5B5D">
            <w:pPr>
              <w:pStyle w:val="BulletHeading"/>
              <w:numPr>
                <w:ilvl w:val="0"/>
                <w:numId w:val="11"/>
              </w:numPr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  <w:r>
              <w:rPr>
                <w:b w:val="0"/>
                <w:sz w:val="22"/>
                <w:lang w:val="da-DK"/>
              </w:rPr>
              <w:t>O</w:t>
            </w:r>
            <w:r w:rsidRPr="00B11B52">
              <w:rPr>
                <w:b w:val="0"/>
                <w:sz w:val="22"/>
                <w:lang w:val="da-DK"/>
              </w:rPr>
              <w:t xml:space="preserve">m </w:t>
            </w:r>
            <w:r w:rsidR="00B11B52" w:rsidRPr="00B11B52">
              <w:rPr>
                <w:b w:val="0"/>
                <w:sz w:val="22"/>
                <w:lang w:val="da-DK"/>
              </w:rPr>
              <w:t>de anvendte data lever op til kravene i Solvens II om dat</w:t>
            </w:r>
            <w:r w:rsidR="00B11B52" w:rsidRPr="00B11B52">
              <w:rPr>
                <w:b w:val="0"/>
                <w:sz w:val="22"/>
                <w:lang w:val="da-DK"/>
              </w:rPr>
              <w:t>a</w:t>
            </w:r>
            <w:r w:rsidR="00B11B52" w:rsidRPr="00B11B52">
              <w:rPr>
                <w:b w:val="0"/>
                <w:sz w:val="22"/>
                <w:lang w:val="da-DK"/>
              </w:rPr>
              <w:t>kvalitet, data anvendt til beregning af solvens II-balancen og solvenskapitalkravet, herunder i særdeleshed de forsikring</w:t>
            </w:r>
            <w:r w:rsidR="00B11B52" w:rsidRPr="00B11B52">
              <w:rPr>
                <w:b w:val="0"/>
                <w:sz w:val="22"/>
                <w:lang w:val="da-DK"/>
              </w:rPr>
              <w:t>s</w:t>
            </w:r>
            <w:r w:rsidR="00B11B52" w:rsidRPr="00B11B52">
              <w:rPr>
                <w:b w:val="0"/>
                <w:sz w:val="22"/>
                <w:lang w:val="da-DK"/>
              </w:rPr>
              <w:t>mæssige hensættelser</w:t>
            </w:r>
            <w:r>
              <w:rPr>
                <w:b w:val="0"/>
                <w:sz w:val="22"/>
                <w:lang w:val="da-DK"/>
              </w:rPr>
              <w:t>.</w:t>
            </w:r>
          </w:p>
          <w:p w:rsidR="004C3628" w:rsidRPr="00B11B52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B11B5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CD6851" w:rsidRPr="00017D95" w:rsidRDefault="00CD6851" w:rsidP="00CD685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D6851" w:rsidRDefault="00CD6851" w:rsidP="00CD685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  <w:p w:rsidR="005A59C2" w:rsidRPr="00B11B52" w:rsidRDefault="005A59C2" w:rsidP="00B11B52">
            <w:pPr>
              <w:rPr>
                <w:lang w:val="da-DK"/>
              </w:rPr>
            </w:pPr>
          </w:p>
        </w:tc>
      </w:tr>
      <w:tr w:rsidR="00B11B5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B11B52" w:rsidRP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lang w:val="da-DK"/>
              </w:rPr>
            </w:pPr>
            <w:r w:rsidRPr="00B11B52">
              <w:rPr>
                <w:sz w:val="22"/>
                <w:lang w:val="da-DK"/>
              </w:rPr>
              <w:t xml:space="preserve">Angiv, hvordan selskabet forholder sig til artikel 328, stk. 1, litra b: </w:t>
            </w:r>
          </w:p>
          <w:p w:rsidR="00B11B52" w:rsidRDefault="0065480F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i/>
                <w:sz w:val="22"/>
                <w:lang w:val="da-DK"/>
              </w:rPr>
            </w:pPr>
            <w:r>
              <w:rPr>
                <w:i/>
                <w:sz w:val="22"/>
                <w:lang w:val="da-DK"/>
              </w:rPr>
              <w:t>"</w:t>
            </w:r>
            <w:r w:rsidR="00B11B52" w:rsidRPr="00B11B52">
              <w:rPr>
                <w:i/>
                <w:sz w:val="22"/>
                <w:lang w:val="da-DK"/>
              </w:rPr>
              <w:t>om et tilknyttet selskab ikke er omfattet af en koncernintern model i de tilfælde, hvor en koncernintern model, for hvilken der er udstedt ti</w:t>
            </w:r>
            <w:r w:rsidR="00B11B52" w:rsidRPr="00B11B52">
              <w:rPr>
                <w:i/>
                <w:sz w:val="22"/>
                <w:lang w:val="da-DK"/>
              </w:rPr>
              <w:t>l</w:t>
            </w:r>
            <w:r w:rsidR="00B11B52" w:rsidRPr="00B11B52">
              <w:rPr>
                <w:i/>
                <w:sz w:val="22"/>
                <w:lang w:val="da-DK"/>
              </w:rPr>
              <w:t>ladelse i overensstemmelse med artikel 231 i direktiv 2009/138/EF, anvendes til beregning af koncernens konsoliderede solvenskapita</w:t>
            </w:r>
            <w:r w:rsidR="00B11B52" w:rsidRPr="00B11B52">
              <w:rPr>
                <w:i/>
                <w:sz w:val="22"/>
                <w:lang w:val="da-DK"/>
              </w:rPr>
              <w:t>l</w:t>
            </w:r>
            <w:r w:rsidR="00B11B52" w:rsidRPr="00B11B52">
              <w:rPr>
                <w:i/>
                <w:sz w:val="22"/>
                <w:lang w:val="da-DK"/>
              </w:rPr>
              <w:t>krav</w:t>
            </w:r>
            <w:r>
              <w:rPr>
                <w:i/>
                <w:sz w:val="22"/>
                <w:lang w:val="da-DK"/>
              </w:rPr>
              <w:t>".</w:t>
            </w:r>
          </w:p>
          <w:p w:rsidR="0065480F" w:rsidRDefault="0065480F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i/>
                <w:sz w:val="22"/>
                <w:lang w:val="da-DK"/>
              </w:rPr>
            </w:pPr>
          </w:p>
          <w:p w:rsid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 xml:space="preserve">samt </w:t>
            </w:r>
            <w:r w:rsidRPr="00B11B52">
              <w:rPr>
                <w:sz w:val="22"/>
                <w:lang w:val="da-DK"/>
              </w:rPr>
              <w:t xml:space="preserve">til artikel 328, stk. 1, litra c): </w:t>
            </w:r>
          </w:p>
          <w:p w:rsidR="00B11B52" w:rsidRPr="00B11B52" w:rsidRDefault="0065480F" w:rsidP="00B11B52">
            <w:pPr>
              <w:ind w:left="34" w:hanging="34"/>
              <w:rPr>
                <w:b/>
                <w:i/>
                <w:sz w:val="22"/>
                <w:lang w:val="da-DK"/>
              </w:rPr>
            </w:pPr>
            <w:r>
              <w:rPr>
                <w:i/>
                <w:sz w:val="22"/>
                <w:lang w:val="da-DK"/>
              </w:rPr>
              <w:t>"o</w:t>
            </w:r>
            <w:r w:rsidR="00B11B52" w:rsidRPr="00B11B52">
              <w:rPr>
                <w:i/>
                <w:sz w:val="22"/>
                <w:lang w:val="da-DK"/>
              </w:rPr>
              <w:t>m de risici, der ikke medtages i den koncerninterne model, jf. litra b), er uvæsentlige i forhold til koncernens generelle risikoprofil</w:t>
            </w:r>
            <w:r>
              <w:rPr>
                <w:i/>
                <w:sz w:val="22"/>
                <w:lang w:val="da-DK"/>
              </w:rPr>
              <w:t>"</w:t>
            </w:r>
            <w:r w:rsidR="00B11B52" w:rsidRPr="00B11B52">
              <w:rPr>
                <w:i/>
                <w:sz w:val="22"/>
                <w:lang w:val="da-DK"/>
              </w:rPr>
              <w:t>.</w:t>
            </w:r>
          </w:p>
          <w:p w:rsidR="00B11B52" w:rsidRP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b/>
                <w:i/>
                <w:sz w:val="22"/>
                <w:lang w:val="da-DK"/>
              </w:rPr>
            </w:pPr>
          </w:p>
          <w:p w:rsidR="00B11B52" w:rsidRPr="00B11B52" w:rsidRDefault="00B11B52" w:rsidP="00B11B52">
            <w:pPr>
              <w:spacing w:before="100" w:beforeAutospacing="1" w:after="100" w:afterAutospacing="1" w:line="240" w:lineRule="auto"/>
              <w:contextualSpacing/>
              <w:jc w:val="left"/>
              <w:rPr>
                <w:b/>
                <w:sz w:val="22"/>
                <w:lang w:val="da-DK"/>
              </w:rPr>
            </w:pPr>
            <w:r w:rsidRPr="00B11B52">
              <w:rPr>
                <w:sz w:val="22"/>
                <w:lang w:val="da-DK"/>
              </w:rPr>
              <w:t xml:space="preserve">Fremhæv, hvordan selskabet forventes inkluderet i beregningen af koncernens konsoliderede solvenskapitalkrav, herunder følgende: </w:t>
            </w:r>
          </w:p>
          <w:p w:rsidR="00B11B52" w:rsidRPr="005A59C2" w:rsidRDefault="00B11B52" w:rsidP="00B11B52">
            <w:pPr>
              <w:pStyle w:val="Listeafsnit"/>
              <w:numPr>
                <w:ilvl w:val="0"/>
                <w:numId w:val="13"/>
              </w:numPr>
              <w:rPr>
                <w:color w:val="A6A6A6" w:themeColor="background1" w:themeShade="A6"/>
                <w:lang w:val="da-DK"/>
              </w:rPr>
            </w:pPr>
            <w:r w:rsidRPr="00B11B52">
              <w:rPr>
                <w:sz w:val="22"/>
                <w:lang w:val="da-DK"/>
              </w:rPr>
              <w:t>Såfremt koncernen anvender en koncernintern model, og se</w:t>
            </w:r>
            <w:r w:rsidRPr="00B11B52">
              <w:rPr>
                <w:sz w:val="22"/>
                <w:lang w:val="da-DK"/>
              </w:rPr>
              <w:t>l</w:t>
            </w:r>
            <w:r w:rsidRPr="00B11B52">
              <w:rPr>
                <w:sz w:val="22"/>
                <w:lang w:val="da-DK"/>
              </w:rPr>
              <w:t>skabet, der skal indregnes ved anvendelse af metode 2</w:t>
            </w:r>
            <w:r w:rsidR="0065480F">
              <w:rPr>
                <w:sz w:val="22"/>
                <w:lang w:val="da-DK"/>
              </w:rPr>
              <w:t>,</w:t>
            </w:r>
            <w:r w:rsidRPr="00B11B52">
              <w:rPr>
                <w:sz w:val="22"/>
                <w:lang w:val="da-DK"/>
              </w:rPr>
              <w:t xml:space="preserve"> ikke er inkluderet i den koncerninterne model, forklar da, hvorfor selskabet er udeladt fra den koncerninterne model. Dette med særligt fokus på væsentligheden og relevansen af risiciene for det udeladte selskab i relation til koncernen.</w:t>
            </w:r>
          </w:p>
          <w:p w:rsidR="005A59C2" w:rsidRPr="005A59C2" w:rsidRDefault="00743E9B" w:rsidP="005A59C2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5A59C2" w:rsidRPr="005A59C2">
              <w:rPr>
                <w:lang w:val="da-DK"/>
              </w:rPr>
              <w:t>okumentation for, at risiciene i selskabet er uvæsentlige for ko</w:t>
            </w:r>
            <w:r w:rsidR="005A59C2" w:rsidRPr="005A59C2">
              <w:rPr>
                <w:lang w:val="da-DK"/>
              </w:rPr>
              <w:t>n</w:t>
            </w:r>
            <w:r w:rsidR="005A59C2" w:rsidRPr="005A59C2">
              <w:rPr>
                <w:lang w:val="da-DK"/>
              </w:rPr>
              <w:t>cernens samlede risikoprofil.</w:t>
            </w:r>
          </w:p>
        </w:tc>
      </w:tr>
      <w:tr w:rsidR="00B11B5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5A59C2" w:rsidRPr="00017D95" w:rsidRDefault="005A59C2" w:rsidP="005A59C2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A59C2" w:rsidRPr="001834ED" w:rsidRDefault="005A59C2" w:rsidP="005A59C2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B11B52" w:rsidRPr="005A59C2" w:rsidRDefault="00B11B52" w:rsidP="005A59C2">
            <w:pPr>
              <w:ind w:left="426" w:hanging="426"/>
              <w:rPr>
                <w:color w:val="A6A6A6" w:themeColor="background1" w:themeShade="A6"/>
                <w:lang w:val="da-DK"/>
              </w:rPr>
            </w:pPr>
          </w:p>
        </w:tc>
      </w:tr>
      <w:tr w:rsidR="00B11B5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5A59C2" w:rsidRPr="005A59C2" w:rsidRDefault="005A59C2" w:rsidP="005A59C2">
            <w:pPr>
              <w:spacing w:before="100" w:beforeAutospacing="1" w:after="100" w:afterAutospacing="1" w:line="240" w:lineRule="auto"/>
              <w:contextualSpacing/>
              <w:jc w:val="left"/>
              <w:rPr>
                <w:lang w:val="da-DK"/>
              </w:rPr>
            </w:pPr>
            <w:r w:rsidRPr="005A59C2">
              <w:rPr>
                <w:sz w:val="22"/>
                <w:lang w:val="da-DK"/>
              </w:rPr>
              <w:lastRenderedPageBreak/>
              <w:t xml:space="preserve">Angiv, hvordan selskabet forholder sig til artikel 328, stk. 1, litra d: </w:t>
            </w:r>
          </w:p>
          <w:p w:rsidR="005A59C2" w:rsidRPr="005A59C2" w:rsidRDefault="0065480F" w:rsidP="008D5B5D">
            <w:pPr>
              <w:ind w:left="34"/>
              <w:jc w:val="left"/>
              <w:rPr>
                <w:b/>
                <w:i/>
                <w:sz w:val="22"/>
                <w:lang w:val="da-DK"/>
              </w:rPr>
            </w:pPr>
            <w:r>
              <w:rPr>
                <w:i/>
                <w:sz w:val="22"/>
                <w:lang w:val="da-DK"/>
              </w:rPr>
              <w:t>"</w:t>
            </w:r>
            <w:r w:rsidR="005A59C2" w:rsidRPr="005A59C2">
              <w:rPr>
                <w:i/>
                <w:sz w:val="22"/>
                <w:lang w:val="da-DK"/>
              </w:rPr>
              <w:t>om anvendelsen af metode 1 i relation til et tilknyttet selskab eller fl</w:t>
            </w:r>
            <w:r w:rsidR="005A59C2" w:rsidRPr="005A59C2">
              <w:rPr>
                <w:i/>
                <w:sz w:val="22"/>
                <w:lang w:val="da-DK"/>
              </w:rPr>
              <w:t>e</w:t>
            </w:r>
            <w:r w:rsidR="005A59C2" w:rsidRPr="005A59C2">
              <w:rPr>
                <w:i/>
                <w:sz w:val="22"/>
                <w:lang w:val="da-DK"/>
              </w:rPr>
              <w:t>re tilknyttede selskaber vil være alt for byrdefuld, og arten, omfanget og kompleksiteten af koncernens risici betyder, at anvendelsen af m</w:t>
            </w:r>
            <w:r w:rsidR="005A59C2" w:rsidRPr="005A59C2">
              <w:rPr>
                <w:i/>
                <w:sz w:val="22"/>
                <w:lang w:val="da-DK"/>
              </w:rPr>
              <w:t>e</w:t>
            </w:r>
            <w:r w:rsidR="005A59C2" w:rsidRPr="005A59C2">
              <w:rPr>
                <w:i/>
                <w:sz w:val="22"/>
                <w:lang w:val="da-DK"/>
              </w:rPr>
              <w:t>tode 2 i relation til det tilknyttede selskab eller de tilknyttede selskaber ikke vil påvirke resultatet af koncernsolvensberegningen væsentligt</w:t>
            </w:r>
            <w:r>
              <w:rPr>
                <w:i/>
                <w:sz w:val="22"/>
                <w:lang w:val="da-DK"/>
              </w:rPr>
              <w:t>".</w:t>
            </w:r>
          </w:p>
          <w:p w:rsidR="00B11B52" w:rsidRDefault="00B11B52" w:rsidP="00B11B52">
            <w:pPr>
              <w:ind w:left="426" w:hanging="426"/>
              <w:rPr>
                <w:color w:val="A6A6A6" w:themeColor="background1" w:themeShade="A6"/>
                <w:lang w:val="da-DK"/>
              </w:rPr>
            </w:pPr>
          </w:p>
          <w:p w:rsidR="005A59C2" w:rsidRPr="005A59C2" w:rsidRDefault="0065480F" w:rsidP="005A59C2">
            <w:pPr>
              <w:rPr>
                <w:b/>
                <w:sz w:val="22"/>
                <w:lang w:val="da-DK"/>
              </w:rPr>
            </w:pPr>
            <w:r>
              <w:rPr>
                <w:sz w:val="22"/>
                <w:lang w:val="da-DK"/>
              </w:rPr>
              <w:t>Angiv herunder</w:t>
            </w:r>
            <w:r w:rsidR="005A59C2" w:rsidRPr="005A59C2">
              <w:rPr>
                <w:sz w:val="22"/>
                <w:lang w:val="da-DK"/>
              </w:rPr>
              <w:t xml:space="preserve"> et estimat for de operationelle omkostninger ved at anvende metode 1</w:t>
            </w:r>
            <w:r w:rsidR="00B470BE">
              <w:rPr>
                <w:sz w:val="22"/>
                <w:lang w:val="da-DK"/>
              </w:rPr>
              <w:t xml:space="preserve"> frem for metode 2</w:t>
            </w:r>
            <w:r w:rsidR="002A3676">
              <w:rPr>
                <w:sz w:val="22"/>
                <w:lang w:val="da-DK"/>
              </w:rPr>
              <w:t>,</w:t>
            </w:r>
            <w:r w:rsidR="00743E9B">
              <w:rPr>
                <w:sz w:val="22"/>
                <w:lang w:val="da-DK"/>
              </w:rPr>
              <w:t xml:space="preserve"> og en kvalitativ beskrivelse af at påvirkningen af koncernsolvensberegningen ikke er væsentlig</w:t>
            </w:r>
            <w:r w:rsidR="005A59C2" w:rsidRPr="005A59C2">
              <w:rPr>
                <w:sz w:val="22"/>
                <w:lang w:val="da-DK"/>
              </w:rPr>
              <w:t>. O</w:t>
            </w:r>
            <w:r w:rsidR="005A59C2" w:rsidRPr="005A59C2">
              <w:rPr>
                <w:sz w:val="22"/>
                <w:lang w:val="da-DK"/>
              </w:rPr>
              <w:t>m</w:t>
            </w:r>
            <w:r w:rsidR="005A59C2" w:rsidRPr="005A59C2">
              <w:rPr>
                <w:sz w:val="22"/>
                <w:lang w:val="da-DK"/>
              </w:rPr>
              <w:t>kostningerne bør opdeles i følgende komponenter:</w:t>
            </w:r>
          </w:p>
          <w:p w:rsidR="005A59C2" w:rsidRPr="008D5B5D" w:rsidRDefault="005A59C2" w:rsidP="005A59C2">
            <w:pPr>
              <w:pStyle w:val="Listeafsnit"/>
              <w:numPr>
                <w:ilvl w:val="0"/>
                <w:numId w:val="14"/>
              </w:numPr>
              <w:rPr>
                <w:b/>
                <w:sz w:val="22"/>
                <w:lang w:val="da-DK"/>
              </w:rPr>
            </w:pPr>
            <w:r w:rsidRPr="008D5B5D">
              <w:rPr>
                <w:sz w:val="22"/>
                <w:lang w:val="da-DK"/>
              </w:rPr>
              <w:t>Omkostninger associeret med øgede beregningsaktiviteter</w:t>
            </w:r>
            <w:r w:rsidR="0065480F" w:rsidRPr="008D5B5D">
              <w:rPr>
                <w:sz w:val="22"/>
                <w:lang w:val="da-DK"/>
              </w:rPr>
              <w:t>.</w:t>
            </w:r>
          </w:p>
          <w:p w:rsidR="005A59C2" w:rsidRPr="005A59C2" w:rsidRDefault="005A59C2" w:rsidP="005A59C2">
            <w:pPr>
              <w:pStyle w:val="Listeafsnit"/>
              <w:numPr>
                <w:ilvl w:val="0"/>
                <w:numId w:val="14"/>
              </w:numPr>
              <w:rPr>
                <w:b/>
                <w:sz w:val="22"/>
                <w:lang w:val="da-DK"/>
              </w:rPr>
            </w:pPr>
            <w:r w:rsidRPr="005A59C2">
              <w:rPr>
                <w:sz w:val="22"/>
                <w:lang w:val="da-DK"/>
              </w:rPr>
              <w:t>Omkostninger associeret med øgede rapporteringsaktivit</w:t>
            </w:r>
            <w:r w:rsidRPr="005A59C2">
              <w:rPr>
                <w:sz w:val="22"/>
                <w:lang w:val="da-DK"/>
              </w:rPr>
              <w:t>e</w:t>
            </w:r>
            <w:r w:rsidRPr="005A59C2">
              <w:rPr>
                <w:sz w:val="22"/>
                <w:lang w:val="da-DK"/>
              </w:rPr>
              <w:t>ter.</w:t>
            </w:r>
          </w:p>
          <w:p w:rsidR="00B470BE" w:rsidRPr="008D5B5D" w:rsidRDefault="005A59C2" w:rsidP="00B470BE">
            <w:pPr>
              <w:pStyle w:val="Listeafsnit"/>
              <w:numPr>
                <w:ilvl w:val="0"/>
                <w:numId w:val="14"/>
              </w:numPr>
              <w:rPr>
                <w:b/>
                <w:sz w:val="22"/>
                <w:lang w:val="da-DK"/>
              </w:rPr>
            </w:pPr>
            <w:r w:rsidRPr="008D5B5D">
              <w:rPr>
                <w:sz w:val="22"/>
                <w:lang w:val="da-DK"/>
              </w:rPr>
              <w:t xml:space="preserve">Omkostninger associeret med øget </w:t>
            </w:r>
            <w:proofErr w:type="spellStart"/>
            <w:r w:rsidRPr="008D5B5D">
              <w:rPr>
                <w:sz w:val="22"/>
                <w:lang w:val="da-DK"/>
              </w:rPr>
              <w:t>complianceaktiviteter</w:t>
            </w:r>
            <w:proofErr w:type="spellEnd"/>
            <w:r w:rsidR="0065480F" w:rsidRPr="008D5B5D">
              <w:rPr>
                <w:sz w:val="22"/>
                <w:lang w:val="da-DK"/>
              </w:rPr>
              <w:t>.</w:t>
            </w:r>
          </w:p>
          <w:p w:rsidR="005A59C2" w:rsidRPr="00B470BE" w:rsidRDefault="005A59C2" w:rsidP="00B470BE">
            <w:pPr>
              <w:pStyle w:val="Listeafsnit"/>
              <w:numPr>
                <w:ilvl w:val="0"/>
                <w:numId w:val="14"/>
              </w:numPr>
              <w:rPr>
                <w:b/>
                <w:sz w:val="22"/>
                <w:lang w:val="da-DK"/>
              </w:rPr>
            </w:pPr>
            <w:r w:rsidRPr="00B470BE">
              <w:rPr>
                <w:sz w:val="22"/>
                <w:lang w:val="da-DK"/>
              </w:rPr>
              <w:t>Omkostninger associeret med øgede risikostyringsaktivit</w:t>
            </w:r>
            <w:r w:rsidRPr="00B470BE">
              <w:rPr>
                <w:sz w:val="22"/>
                <w:lang w:val="da-DK"/>
              </w:rPr>
              <w:t>e</w:t>
            </w:r>
            <w:r w:rsidRPr="00B470BE">
              <w:rPr>
                <w:sz w:val="22"/>
                <w:lang w:val="da-DK"/>
              </w:rPr>
              <w:t>ter</w:t>
            </w:r>
            <w:r w:rsidR="0065480F">
              <w:rPr>
                <w:sz w:val="22"/>
                <w:lang w:val="da-DK"/>
              </w:rPr>
              <w:t>.</w:t>
            </w:r>
          </w:p>
        </w:tc>
      </w:tr>
      <w:tr w:rsidR="00B11B5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5A59C2" w:rsidRPr="00017D95" w:rsidRDefault="005A59C2" w:rsidP="005A59C2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A59C2" w:rsidRPr="001834ED" w:rsidRDefault="005A59C2" w:rsidP="005A59C2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B11B52" w:rsidRPr="00B11B52" w:rsidRDefault="00B11B52" w:rsidP="005A59C2">
            <w:pPr>
              <w:pStyle w:val="Listeafsnit"/>
              <w:numPr>
                <w:ilvl w:val="0"/>
                <w:numId w:val="0"/>
              </w:numPr>
              <w:ind w:left="426"/>
              <w:rPr>
                <w:color w:val="A6A6A6" w:themeColor="background1" w:themeShade="A6"/>
                <w:lang w:val="da-DK"/>
              </w:rPr>
            </w:pPr>
          </w:p>
        </w:tc>
      </w:tr>
      <w:tr w:rsidR="005A59C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5A59C2" w:rsidRPr="005A59C2" w:rsidRDefault="005A59C2" w:rsidP="005A59C2">
            <w:pPr>
              <w:spacing w:before="100" w:beforeAutospacing="1" w:after="100" w:afterAutospacing="1" w:line="240" w:lineRule="auto"/>
              <w:contextualSpacing/>
              <w:jc w:val="left"/>
              <w:rPr>
                <w:lang w:val="da-DK"/>
              </w:rPr>
            </w:pPr>
            <w:r w:rsidRPr="005A59C2">
              <w:rPr>
                <w:sz w:val="22"/>
                <w:lang w:val="da-DK"/>
              </w:rPr>
              <w:t xml:space="preserve">Angiv, hvordan selskabet forholder sig til artikel 328, stk. 1, litra e: </w:t>
            </w:r>
          </w:p>
          <w:p w:rsidR="005A59C2" w:rsidRDefault="0065480F" w:rsidP="005A59C2">
            <w:pPr>
              <w:rPr>
                <w:i/>
                <w:sz w:val="22"/>
                <w:lang w:val="da-DK"/>
              </w:rPr>
            </w:pPr>
            <w:r>
              <w:rPr>
                <w:i/>
                <w:sz w:val="22"/>
                <w:lang w:val="da-DK"/>
              </w:rPr>
              <w:t>"</w:t>
            </w:r>
            <w:r w:rsidR="005A59C2" w:rsidRPr="005A59C2">
              <w:rPr>
                <w:i/>
                <w:sz w:val="22"/>
                <w:lang w:val="da-DK"/>
              </w:rPr>
              <w:t>om koncerninterne transaktioner ikke er væsentlige med hensyn til både transaktionernes omfang og værdi</w:t>
            </w:r>
            <w:r>
              <w:rPr>
                <w:i/>
                <w:sz w:val="22"/>
                <w:lang w:val="da-DK"/>
              </w:rPr>
              <w:t>".</w:t>
            </w:r>
          </w:p>
          <w:p w:rsidR="0065480F" w:rsidRPr="005A59C2" w:rsidRDefault="0065480F" w:rsidP="005A59C2">
            <w:pPr>
              <w:rPr>
                <w:b/>
                <w:i/>
                <w:sz w:val="22"/>
                <w:lang w:val="da-DK"/>
              </w:rPr>
            </w:pPr>
          </w:p>
          <w:p w:rsidR="005A59C2" w:rsidRDefault="005A59C2" w:rsidP="005A59C2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Angiv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herunder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følgende</w:t>
            </w:r>
            <w:proofErr w:type="spellEnd"/>
            <w:r>
              <w:rPr>
                <w:sz w:val="22"/>
              </w:rPr>
              <w:t>:</w:t>
            </w:r>
          </w:p>
          <w:p w:rsidR="005A59C2" w:rsidRPr="005A59C2" w:rsidRDefault="005A59C2" w:rsidP="008D5B5D">
            <w:pPr>
              <w:pStyle w:val="Listeafsnit"/>
              <w:numPr>
                <w:ilvl w:val="0"/>
                <w:numId w:val="15"/>
              </w:numPr>
              <w:contextualSpacing w:val="0"/>
              <w:rPr>
                <w:b/>
                <w:sz w:val="22"/>
                <w:lang w:val="da-DK"/>
              </w:rPr>
            </w:pPr>
            <w:r w:rsidRPr="005A59C2">
              <w:rPr>
                <w:sz w:val="22"/>
                <w:lang w:val="da-DK"/>
              </w:rPr>
              <w:t>En oversigt over selskabets koncerninterne transaktioner</w:t>
            </w:r>
            <w:r>
              <w:rPr>
                <w:sz w:val="22"/>
                <w:lang w:val="da-DK"/>
              </w:rPr>
              <w:t xml:space="preserve"> so</w:t>
            </w:r>
            <w:r>
              <w:rPr>
                <w:sz w:val="22"/>
                <w:lang w:val="da-DK"/>
              </w:rPr>
              <w:t>r</w:t>
            </w:r>
            <w:r>
              <w:rPr>
                <w:sz w:val="22"/>
                <w:lang w:val="da-DK"/>
              </w:rPr>
              <w:t>teret efter størrelse</w:t>
            </w:r>
            <w:r w:rsidR="0065480F">
              <w:rPr>
                <w:sz w:val="22"/>
                <w:lang w:val="da-DK"/>
              </w:rPr>
              <w:t>.</w:t>
            </w:r>
          </w:p>
          <w:p w:rsidR="005A59C2" w:rsidRPr="005A59C2" w:rsidRDefault="005A59C2" w:rsidP="008D5B5D">
            <w:pPr>
              <w:pStyle w:val="Listeafsnit"/>
              <w:numPr>
                <w:ilvl w:val="0"/>
                <w:numId w:val="15"/>
              </w:numPr>
              <w:contextualSpacing w:val="0"/>
              <w:rPr>
                <w:b/>
                <w:sz w:val="22"/>
                <w:lang w:val="da-DK"/>
              </w:rPr>
            </w:pPr>
            <w:r>
              <w:rPr>
                <w:sz w:val="22"/>
                <w:lang w:val="da-DK"/>
              </w:rPr>
              <w:t xml:space="preserve">En oversigt over koncerninterne eksponeringer, herunder </w:t>
            </w:r>
            <w:r w:rsidR="002325DA">
              <w:rPr>
                <w:sz w:val="22"/>
                <w:lang w:val="da-DK"/>
              </w:rPr>
              <w:t>o</w:t>
            </w:r>
            <w:r w:rsidR="002325DA">
              <w:rPr>
                <w:sz w:val="22"/>
                <w:lang w:val="da-DK"/>
              </w:rPr>
              <w:t>p</w:t>
            </w:r>
            <w:r w:rsidR="002325DA">
              <w:rPr>
                <w:sz w:val="22"/>
                <w:lang w:val="da-DK"/>
              </w:rPr>
              <w:t xml:space="preserve">lysninger om </w:t>
            </w:r>
            <w:r>
              <w:rPr>
                <w:sz w:val="22"/>
                <w:lang w:val="da-DK"/>
              </w:rPr>
              <w:t>den tildelte ramme og udnyttelsen af rammen.</w:t>
            </w:r>
          </w:p>
          <w:p w:rsidR="005A59C2" w:rsidRPr="005A59C2" w:rsidRDefault="005A59C2" w:rsidP="005A59C2">
            <w:pPr>
              <w:ind w:left="426" w:hanging="426"/>
              <w:rPr>
                <w:color w:val="A6A6A6" w:themeColor="background1" w:themeShade="A6"/>
                <w:lang w:val="da-DK"/>
              </w:rPr>
            </w:pPr>
          </w:p>
        </w:tc>
      </w:tr>
      <w:tr w:rsidR="004C3628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  <w:p w:rsidR="005A59C2" w:rsidRPr="005A59C2" w:rsidRDefault="005A59C2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B470BE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B470BE" w:rsidRPr="00B470BE" w:rsidRDefault="00B470BE" w:rsidP="00B470BE">
            <w:pPr>
              <w:spacing w:before="100" w:beforeAutospacing="1" w:after="100" w:afterAutospacing="1" w:line="240" w:lineRule="auto"/>
              <w:contextualSpacing/>
              <w:jc w:val="left"/>
              <w:rPr>
                <w:lang w:val="da-DK"/>
              </w:rPr>
            </w:pPr>
            <w:r w:rsidRPr="00B470BE">
              <w:rPr>
                <w:sz w:val="22"/>
                <w:lang w:val="da-DK"/>
              </w:rPr>
              <w:t xml:space="preserve">Angiv, hvordan selskabet forholder sig til artikel 328, stk. 1, litra f: </w:t>
            </w:r>
          </w:p>
          <w:p w:rsidR="00B470BE" w:rsidRPr="00B470BE" w:rsidRDefault="0065480F" w:rsidP="008D5B5D">
            <w:pPr>
              <w:spacing w:before="100" w:beforeAutospacing="1" w:after="100" w:afterAutospacing="1"/>
              <w:ind w:left="34" w:hanging="34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>
              <w:rPr>
                <w:i/>
                <w:sz w:val="22"/>
                <w:lang w:val="da-DK"/>
              </w:rPr>
              <w:t>"</w:t>
            </w:r>
            <w:r w:rsidR="00B470BE" w:rsidRPr="00B470BE">
              <w:rPr>
                <w:i/>
                <w:sz w:val="22"/>
                <w:lang w:val="da-DK"/>
              </w:rPr>
              <w:t>om koncernen omfatter tilknyttede forsikrings- eller genforsikringsse</w:t>
            </w:r>
            <w:r w:rsidR="00B470BE" w:rsidRPr="00B470BE">
              <w:rPr>
                <w:i/>
                <w:sz w:val="22"/>
                <w:lang w:val="da-DK"/>
              </w:rPr>
              <w:t>l</w:t>
            </w:r>
            <w:r w:rsidR="00B470BE" w:rsidRPr="00B470BE">
              <w:rPr>
                <w:i/>
                <w:sz w:val="22"/>
                <w:lang w:val="da-DK"/>
              </w:rPr>
              <w:t>skaber fra tredjelande, om der er vedtaget delegerede retsakter i he</w:t>
            </w:r>
            <w:r w:rsidR="00B470BE" w:rsidRPr="00B470BE">
              <w:rPr>
                <w:i/>
                <w:sz w:val="22"/>
                <w:lang w:val="da-DK"/>
              </w:rPr>
              <w:t>n</w:t>
            </w:r>
            <w:r w:rsidR="00B470BE" w:rsidRPr="00B470BE">
              <w:rPr>
                <w:i/>
                <w:sz w:val="22"/>
                <w:lang w:val="da-DK"/>
              </w:rPr>
              <w:t>hold til artikel 227, stk. 4 eller 5, i direktiv 2009/138/EF, hvori det fas</w:t>
            </w:r>
            <w:r w:rsidR="00B470BE" w:rsidRPr="00B470BE">
              <w:rPr>
                <w:i/>
                <w:sz w:val="22"/>
                <w:lang w:val="da-DK"/>
              </w:rPr>
              <w:t>t</w:t>
            </w:r>
            <w:r w:rsidR="00B470BE" w:rsidRPr="00B470BE">
              <w:rPr>
                <w:i/>
                <w:sz w:val="22"/>
                <w:lang w:val="da-DK"/>
              </w:rPr>
              <w:t>sættes, at solvensreglerne i disse tredjelande er ækvivalente eller f</w:t>
            </w:r>
            <w:r w:rsidR="00B470BE" w:rsidRPr="00B470BE">
              <w:rPr>
                <w:i/>
                <w:sz w:val="22"/>
                <w:lang w:val="da-DK"/>
              </w:rPr>
              <w:t>o</w:t>
            </w:r>
            <w:r w:rsidR="00B470BE" w:rsidRPr="00B470BE">
              <w:rPr>
                <w:i/>
                <w:sz w:val="22"/>
                <w:lang w:val="da-DK"/>
              </w:rPr>
              <w:t>reløbig ækvivalente</w:t>
            </w:r>
            <w:r>
              <w:rPr>
                <w:i/>
                <w:sz w:val="22"/>
                <w:lang w:val="da-DK"/>
              </w:rPr>
              <w:t>"</w:t>
            </w:r>
            <w:r w:rsidR="00B470BE" w:rsidRPr="00B470BE">
              <w:rPr>
                <w:i/>
                <w:sz w:val="22"/>
                <w:lang w:val="da-DK"/>
              </w:rPr>
              <w:t>.</w:t>
            </w:r>
          </w:p>
        </w:tc>
      </w:tr>
      <w:tr w:rsidR="00B470BE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CD6851" w:rsidRPr="00017D95" w:rsidRDefault="00CD6851" w:rsidP="00CD685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D6851" w:rsidRDefault="00CD6851" w:rsidP="00CD685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  <w:p w:rsidR="00CC3392" w:rsidRPr="00B470BE" w:rsidRDefault="00CC3392" w:rsidP="008D5B5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26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</w:tc>
      </w:tr>
      <w:tr w:rsidR="00CC3392" w:rsidRPr="00A71782" w:rsidTr="00AD714E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C3392" w:rsidRDefault="00CC3392" w:rsidP="004F516C">
            <w:pPr>
              <w:spacing w:before="100" w:beforeAutospacing="1" w:after="100" w:afterAutospacing="1" w:line="240" w:lineRule="auto"/>
              <w:ind w:left="318" w:hanging="318"/>
              <w:jc w:val="left"/>
              <w:rPr>
                <w:sz w:val="22"/>
                <w:lang w:val="da-DK"/>
              </w:rPr>
            </w:pPr>
            <w:r w:rsidRPr="00CC3392">
              <w:rPr>
                <w:b/>
                <w:sz w:val="22"/>
                <w:szCs w:val="22"/>
                <w:lang w:val="da-DK"/>
              </w:rPr>
              <w:lastRenderedPageBreak/>
              <w:t xml:space="preserve">3. </w:t>
            </w:r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 w:rsidRPr="00B11B52">
              <w:rPr>
                <w:b/>
                <w:sz w:val="22"/>
                <w:szCs w:val="22"/>
                <w:lang w:val="da-DK"/>
              </w:rPr>
              <w:t xml:space="preserve">Dokumentation vedr. </w:t>
            </w:r>
            <w:r w:rsidRPr="00036C2B">
              <w:rPr>
                <w:b/>
                <w:sz w:val="22"/>
                <w:szCs w:val="22"/>
                <w:lang w:val="da-DK"/>
              </w:rPr>
              <w:t>forhold behandlet i</w:t>
            </w:r>
            <w:r w:rsidRPr="00B11B52">
              <w:rPr>
                <w:rFonts w:cs="Arial"/>
                <w:b/>
                <w:szCs w:val="21"/>
                <w:lang w:val="da-DK"/>
              </w:rPr>
              <w:t xml:space="preserve"> </w:t>
            </w:r>
            <w:r w:rsidRPr="00B11B52">
              <w:rPr>
                <w:b/>
                <w:sz w:val="22"/>
                <w:lang w:val="da-DK"/>
              </w:rPr>
              <w:t>Kommissionens d</w:t>
            </w:r>
            <w:r w:rsidRPr="00B11B52">
              <w:rPr>
                <w:b/>
                <w:sz w:val="22"/>
                <w:lang w:val="da-DK"/>
              </w:rPr>
              <w:t>e</w:t>
            </w:r>
            <w:r w:rsidRPr="00B11B52">
              <w:rPr>
                <w:b/>
                <w:sz w:val="22"/>
                <w:lang w:val="da-DK"/>
              </w:rPr>
              <w:t>legerede forordning (EU) 2015/35 af 10. oktober 2014 om su</w:t>
            </w:r>
            <w:r w:rsidRPr="00B11B52">
              <w:rPr>
                <w:b/>
                <w:sz w:val="22"/>
                <w:lang w:val="da-DK"/>
              </w:rPr>
              <w:t>p</w:t>
            </w:r>
            <w:r w:rsidRPr="00B11B52">
              <w:rPr>
                <w:b/>
                <w:sz w:val="22"/>
                <w:lang w:val="da-DK"/>
              </w:rPr>
              <w:t>plerende regler til Europa-Parlamentets og Rådets direktiv 2009/138/EF om adgang til og udøvelse af forsikrings- og ge</w:t>
            </w:r>
            <w:r w:rsidRPr="00B11B52">
              <w:rPr>
                <w:b/>
                <w:sz w:val="22"/>
                <w:lang w:val="da-DK"/>
              </w:rPr>
              <w:t>n</w:t>
            </w:r>
            <w:r w:rsidRPr="00B11B52">
              <w:rPr>
                <w:b/>
                <w:sz w:val="22"/>
                <w:lang w:val="da-DK"/>
              </w:rPr>
              <w:t>forsikringsvirksomhed (Solvens II), artikel</w:t>
            </w:r>
            <w:r>
              <w:rPr>
                <w:b/>
                <w:sz w:val="22"/>
                <w:lang w:val="da-DK"/>
              </w:rPr>
              <w:t xml:space="preserve"> 329</w:t>
            </w:r>
            <w:r w:rsidR="000832AF">
              <w:rPr>
                <w:b/>
                <w:sz w:val="22"/>
                <w:lang w:val="da-DK"/>
              </w:rPr>
              <w:t xml:space="preserve"> om behandling af specifikke tilknyttede selskaber</w:t>
            </w:r>
          </w:p>
          <w:p w:rsidR="000832AF" w:rsidRPr="00AD714E" w:rsidRDefault="000832AF" w:rsidP="00AD714E">
            <w:pPr>
              <w:spacing w:before="100" w:beforeAutospacing="1" w:after="100" w:afterAutospacing="1" w:line="240" w:lineRule="auto"/>
              <w:jc w:val="left"/>
              <w:rPr>
                <w:i/>
                <w:sz w:val="22"/>
                <w:szCs w:val="22"/>
                <w:lang w:val="da-DK"/>
              </w:rPr>
            </w:pPr>
            <w:r w:rsidRPr="00AD714E">
              <w:rPr>
                <w:i/>
                <w:sz w:val="22"/>
                <w:szCs w:val="22"/>
                <w:lang w:val="da-DK"/>
              </w:rPr>
              <w:t>Udfyldes kun, såfremt ansøgningen er begrundet i forhold berørt i fo</w:t>
            </w:r>
            <w:r w:rsidRPr="00AD714E">
              <w:rPr>
                <w:i/>
                <w:sz w:val="22"/>
                <w:szCs w:val="22"/>
                <w:lang w:val="da-DK"/>
              </w:rPr>
              <w:t>r</w:t>
            </w:r>
            <w:r w:rsidRPr="00AD714E">
              <w:rPr>
                <w:i/>
                <w:sz w:val="22"/>
                <w:szCs w:val="22"/>
                <w:lang w:val="da-DK"/>
              </w:rPr>
              <w:t>ordningens artikel 329.</w:t>
            </w:r>
          </w:p>
        </w:tc>
      </w:tr>
      <w:tr w:rsidR="00CC3392" w:rsidRPr="00A71782" w:rsidTr="00AD714E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C3392" w:rsidRPr="00AD714E" w:rsidRDefault="00AD714E" w:rsidP="00AD714E">
            <w:pPr>
              <w:spacing w:before="100" w:beforeAutospacing="1" w:after="100" w:afterAutospacing="1"/>
              <w:ind w:left="426" w:hanging="426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Angiv nedenfor, hvilken type institut, der ønskes indregnet.</w:t>
            </w:r>
          </w:p>
          <w:tbl>
            <w:tblPr>
              <w:tblStyle w:val="Tabel-Gitter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5131"/>
              <w:gridCol w:w="946"/>
            </w:tblGrid>
            <w:tr w:rsidR="00AD714E" w:rsidTr="00AD714E">
              <w:tc>
                <w:tcPr>
                  <w:tcW w:w="5131" w:type="dxa"/>
                  <w:tcBorders>
                    <w:top w:val="nil"/>
                    <w:left w:val="nil"/>
                    <w:bottom w:val="nil"/>
                  </w:tcBorders>
                </w:tcPr>
                <w:p w:rsidR="00AD714E" w:rsidRPr="00AD714E" w:rsidRDefault="00AD714E" w:rsidP="00CC3392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da-DK"/>
                    </w:rPr>
                  </w:pPr>
                  <w:r w:rsidRPr="00AD714E">
                    <w:rPr>
                      <w:sz w:val="22"/>
                      <w:szCs w:val="22"/>
                      <w:lang w:val="da-DK"/>
                    </w:rPr>
                    <w:t>Der ønskes indregnet et kreditinstitut, invest</w:t>
                  </w:r>
                  <w:r w:rsidRPr="00AD714E">
                    <w:rPr>
                      <w:sz w:val="22"/>
                      <w:szCs w:val="22"/>
                      <w:lang w:val="da-DK"/>
                    </w:rPr>
                    <w:t>e</w:t>
                  </w:r>
                  <w:r w:rsidRPr="00AD714E">
                    <w:rPr>
                      <w:sz w:val="22"/>
                      <w:szCs w:val="22"/>
                      <w:lang w:val="da-DK"/>
                    </w:rPr>
                    <w:t>ringsselskab</w:t>
                  </w:r>
                  <w:r>
                    <w:rPr>
                      <w:sz w:val="22"/>
                      <w:szCs w:val="22"/>
                      <w:lang w:val="da-DK"/>
                    </w:rPr>
                    <w:t xml:space="preserve"> eller finansieringsinstitut som b</w:t>
                  </w:r>
                  <w:r>
                    <w:rPr>
                      <w:sz w:val="22"/>
                      <w:szCs w:val="22"/>
                      <w:lang w:val="da-DK"/>
                    </w:rPr>
                    <w:t>e</w:t>
                  </w:r>
                  <w:r>
                    <w:rPr>
                      <w:sz w:val="22"/>
                      <w:szCs w:val="22"/>
                      <w:lang w:val="da-DK"/>
                    </w:rPr>
                    <w:t>skrevet i artikel 329, stk. 1, litra a</w:t>
                  </w:r>
                  <w:r w:rsidR="00CD6851">
                    <w:rPr>
                      <w:sz w:val="22"/>
                      <w:szCs w:val="22"/>
                      <w:lang w:val="da-DK"/>
                    </w:rPr>
                    <w:t>.</w:t>
                  </w:r>
                  <w:r>
                    <w:rPr>
                      <w:sz w:val="22"/>
                      <w:szCs w:val="22"/>
                      <w:lang w:val="da-DK"/>
                    </w:rPr>
                    <w:br/>
                  </w:r>
                </w:p>
              </w:tc>
              <w:tc>
                <w:tcPr>
                  <w:tcW w:w="946" w:type="dxa"/>
                </w:tcPr>
                <w:p w:rsidR="00AD714E" w:rsidRPr="00AD714E" w:rsidRDefault="00AD714E" w:rsidP="00CC3392">
                  <w:pPr>
                    <w:spacing w:before="100" w:beforeAutospacing="1" w:after="100" w:afterAutospacing="1" w:line="240" w:lineRule="auto"/>
                    <w:jc w:val="left"/>
                    <w:rPr>
                      <w:b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AD714E" w:rsidTr="00AD714E">
              <w:tc>
                <w:tcPr>
                  <w:tcW w:w="5131" w:type="dxa"/>
                  <w:tcBorders>
                    <w:top w:val="nil"/>
                    <w:left w:val="nil"/>
                    <w:bottom w:val="nil"/>
                  </w:tcBorders>
                </w:tcPr>
                <w:p w:rsidR="00AD714E" w:rsidRPr="00AD714E" w:rsidRDefault="00AD714E" w:rsidP="00AD714E">
                  <w:p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da-DK"/>
                    </w:rPr>
                  </w:pPr>
                  <w:r w:rsidRPr="00AD714E">
                    <w:rPr>
                      <w:sz w:val="22"/>
                      <w:szCs w:val="22"/>
                      <w:lang w:val="da-DK"/>
                    </w:rPr>
                    <w:t>Der ønskes indregnet e</w:t>
                  </w:r>
                  <w:r>
                    <w:rPr>
                      <w:sz w:val="22"/>
                      <w:szCs w:val="22"/>
                      <w:lang w:val="da-DK"/>
                    </w:rPr>
                    <w:t>n arbejdsmarkedsrelateret pensionskasse som beskrevet i artikel 329, stk. 1, litra b</w:t>
                  </w:r>
                  <w:r w:rsidR="00CD6851">
                    <w:rPr>
                      <w:sz w:val="22"/>
                      <w:szCs w:val="22"/>
                      <w:lang w:val="da-DK"/>
                    </w:rPr>
                    <w:t>.</w:t>
                  </w:r>
                  <w:r>
                    <w:rPr>
                      <w:sz w:val="22"/>
                      <w:szCs w:val="22"/>
                      <w:lang w:val="da-DK"/>
                    </w:rPr>
                    <w:br/>
                  </w:r>
                </w:p>
              </w:tc>
              <w:tc>
                <w:tcPr>
                  <w:tcW w:w="946" w:type="dxa"/>
                </w:tcPr>
                <w:p w:rsidR="00AD714E" w:rsidRPr="00AD714E" w:rsidRDefault="00AD714E" w:rsidP="00CC3392">
                  <w:pPr>
                    <w:spacing w:before="100" w:beforeAutospacing="1" w:after="100" w:afterAutospacing="1" w:line="240" w:lineRule="auto"/>
                    <w:jc w:val="left"/>
                    <w:rPr>
                      <w:b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AD714E" w:rsidTr="00AD714E">
              <w:tc>
                <w:tcPr>
                  <w:tcW w:w="5131" w:type="dxa"/>
                  <w:tcBorders>
                    <w:top w:val="nil"/>
                    <w:left w:val="nil"/>
                    <w:bottom w:val="nil"/>
                  </w:tcBorders>
                </w:tcPr>
                <w:p w:rsidR="00AD714E" w:rsidRPr="00AD714E" w:rsidRDefault="00AD714E" w:rsidP="00AD714E">
                  <w:pPr>
                    <w:spacing w:before="100" w:beforeAutospacing="1" w:after="100" w:afterAutospacing="1" w:line="240" w:lineRule="auto"/>
                    <w:jc w:val="left"/>
                    <w:rPr>
                      <w:b/>
                      <w:sz w:val="22"/>
                      <w:szCs w:val="22"/>
                      <w:lang w:val="da-DK"/>
                    </w:rPr>
                  </w:pPr>
                  <w:r w:rsidRPr="00AD714E">
                    <w:rPr>
                      <w:sz w:val="22"/>
                      <w:szCs w:val="22"/>
                      <w:lang w:val="da-DK"/>
                    </w:rPr>
                    <w:t xml:space="preserve">Der ønskes indregnet et </w:t>
                  </w:r>
                  <w:r>
                    <w:rPr>
                      <w:sz w:val="22"/>
                      <w:szCs w:val="22"/>
                      <w:lang w:val="da-DK"/>
                    </w:rPr>
                    <w:t>UCITS-administrationsselskab som beskrevet i artikel 329, stk. 1, litra c</w:t>
                  </w:r>
                  <w:r w:rsidR="00CD6851">
                    <w:rPr>
                      <w:sz w:val="22"/>
                      <w:szCs w:val="22"/>
                      <w:lang w:val="da-DK"/>
                    </w:rPr>
                    <w:t>.</w:t>
                  </w:r>
                  <w:r>
                    <w:rPr>
                      <w:sz w:val="22"/>
                      <w:szCs w:val="22"/>
                      <w:lang w:val="da-DK"/>
                    </w:rPr>
                    <w:br/>
                  </w:r>
                </w:p>
              </w:tc>
              <w:tc>
                <w:tcPr>
                  <w:tcW w:w="946" w:type="dxa"/>
                </w:tcPr>
                <w:p w:rsidR="00AD714E" w:rsidRPr="00AD714E" w:rsidRDefault="00AD714E" w:rsidP="00CC3392">
                  <w:pPr>
                    <w:spacing w:before="100" w:beforeAutospacing="1" w:after="100" w:afterAutospacing="1" w:line="240" w:lineRule="auto"/>
                    <w:jc w:val="left"/>
                    <w:rPr>
                      <w:b/>
                      <w:sz w:val="22"/>
                      <w:szCs w:val="22"/>
                      <w:lang w:val="da-DK"/>
                    </w:rPr>
                  </w:pPr>
                </w:p>
              </w:tc>
            </w:tr>
          </w:tbl>
          <w:p w:rsidR="00AD714E" w:rsidRPr="00017D95" w:rsidRDefault="00AD714E" w:rsidP="00AD714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  <w:r>
              <w:rPr>
                <w:color w:val="808080" w:themeColor="background1" w:themeShade="80"/>
                <w:sz w:val="22"/>
                <w:szCs w:val="22"/>
                <w:lang w:val="da-DK"/>
              </w:rPr>
              <w:t>/uddybende b</w:t>
            </w:r>
            <w:r>
              <w:rPr>
                <w:color w:val="808080" w:themeColor="background1" w:themeShade="80"/>
                <w:sz w:val="22"/>
                <w:szCs w:val="22"/>
                <w:lang w:val="da-DK"/>
              </w:rPr>
              <w:t>e</w:t>
            </w:r>
            <w:r>
              <w:rPr>
                <w:color w:val="808080" w:themeColor="background1" w:themeShade="80"/>
                <w:sz w:val="22"/>
                <w:szCs w:val="22"/>
                <w:lang w:val="da-DK"/>
              </w:rPr>
              <w:t>mærkninger</w:t>
            </w:r>
          </w:p>
          <w:p w:rsidR="00CC3392" w:rsidRDefault="00CC3392" w:rsidP="00CC3392">
            <w:pPr>
              <w:spacing w:before="100" w:beforeAutospacing="1" w:after="100" w:afterAutospacing="1"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  <w:p w:rsidR="00CD6851" w:rsidRPr="00AD714E" w:rsidRDefault="00CD6851" w:rsidP="00CC3392">
            <w:pPr>
              <w:spacing w:before="100" w:beforeAutospacing="1" w:after="100" w:afterAutospacing="1"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</w:tc>
      </w:tr>
      <w:tr w:rsidR="00CC3392" w:rsidRPr="00A71782" w:rsidTr="00AD714E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C3392" w:rsidRPr="005A59C2" w:rsidRDefault="002A3676" w:rsidP="005A59C2">
            <w:pPr>
              <w:spacing w:before="100" w:beforeAutospacing="1" w:after="100" w:afterAutospacing="1"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4</w:t>
            </w:r>
            <w:r w:rsidR="00CC3392">
              <w:rPr>
                <w:b/>
                <w:sz w:val="22"/>
                <w:szCs w:val="22"/>
                <w:lang w:val="da-DK"/>
              </w:rPr>
              <w:t>. Anden relevant information</w:t>
            </w:r>
          </w:p>
        </w:tc>
      </w:tr>
      <w:tr w:rsidR="00CC339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CC3392" w:rsidRPr="00017D95" w:rsidRDefault="00CC3392" w:rsidP="00AD05FC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C3392" w:rsidRPr="005A59C2" w:rsidRDefault="00CC3392" w:rsidP="00AD05FC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  <w:p w:rsidR="00CC3392" w:rsidRPr="005A59C2" w:rsidRDefault="00CC3392" w:rsidP="00AD05FC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C3392" w:rsidRPr="00017D95" w:rsidTr="00AD714E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C3392" w:rsidRPr="005A59C2" w:rsidRDefault="002A3676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5</w:t>
            </w:r>
            <w:r w:rsidR="00CC3392" w:rsidRPr="005A59C2">
              <w:rPr>
                <w:b/>
                <w:sz w:val="22"/>
                <w:szCs w:val="22"/>
                <w:lang w:val="da-DK"/>
              </w:rPr>
              <w:t>. Dokumentation for at bestyrelsen har behandlet ansøgningen.</w:t>
            </w:r>
          </w:p>
          <w:p w:rsidR="00CC3392" w:rsidRPr="00017D95" w:rsidRDefault="00CC3392" w:rsidP="00CA42DE">
            <w:pPr>
              <w:pStyle w:val="BulletHeading"/>
              <w:ind w:left="360" w:firstLine="0"/>
              <w:jc w:val="both"/>
              <w:outlineLvl w:val="9"/>
              <w:rPr>
                <w:sz w:val="22"/>
                <w:szCs w:val="22"/>
                <w:lang w:val="da-DK" w:eastAsia="en-GB"/>
              </w:rPr>
            </w:pPr>
          </w:p>
        </w:tc>
      </w:tr>
      <w:tr w:rsidR="00CC3392" w:rsidRPr="001834ED" w:rsidTr="00AD714E">
        <w:tc>
          <w:tcPr>
            <w:tcW w:w="7088" w:type="dxa"/>
            <w:tcMar>
              <w:top w:w="57" w:type="dxa"/>
              <w:bottom w:w="57" w:type="dxa"/>
            </w:tcMar>
          </w:tcPr>
          <w:p w:rsidR="00CC3392" w:rsidRPr="00017D95" w:rsidRDefault="00CC3392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C3392" w:rsidRPr="001834ED" w:rsidRDefault="00CC3392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CC3392" w:rsidRPr="001834ED" w:rsidRDefault="00CC3392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4C3628" w:rsidRPr="001834ED" w:rsidRDefault="004C3628" w:rsidP="004C3628">
      <w:pPr>
        <w:rPr>
          <w:rFonts w:cs="Arial"/>
        </w:rPr>
      </w:pPr>
    </w:p>
    <w:p w:rsidR="00331EDD" w:rsidRDefault="005A59C2" w:rsidP="005A59C2">
      <w:pPr>
        <w:pStyle w:val="Brdtekst"/>
      </w:pPr>
      <w:r w:rsidRPr="00781CBD">
        <w:rPr>
          <w:b/>
        </w:rPr>
        <w:t>Kontaktperson</w:t>
      </w:r>
      <w:r>
        <w:t xml:space="preserve">: </w:t>
      </w:r>
      <w:r w:rsidRPr="001A6560">
        <w:t>Christoffer Strandby Christensen</w:t>
      </w:r>
      <w:r>
        <w:t>,</w:t>
      </w:r>
      <w:r w:rsidRPr="001A6560">
        <w:t xml:space="preserve"> </w:t>
      </w:r>
      <w:hyperlink r:id="rId9" w:history="1">
        <w:r>
          <w:rPr>
            <w:rStyle w:val="Hyperlink"/>
          </w:rPr>
          <w:t>chs</w:t>
        </w:r>
        <w:r w:rsidRPr="00D221D6">
          <w:rPr>
            <w:rStyle w:val="Hyperlink"/>
          </w:rPr>
          <w:t>@ftnet.dk</w:t>
        </w:r>
      </w:hyperlink>
      <w:r>
        <w:t xml:space="preserve">, tlf.: 33 55 84 44 eller Mikala Schiellerup, </w:t>
      </w:r>
      <w:hyperlink r:id="rId10" w:history="1">
        <w:r w:rsidRPr="00C06EA1">
          <w:rPr>
            <w:rStyle w:val="Hyperlink"/>
          </w:rPr>
          <w:t>msch@ftnet.dk</w:t>
        </w:r>
      </w:hyperlink>
      <w:r>
        <w:t>, tlf.: 33 55 83 79</w:t>
      </w:r>
    </w:p>
    <w:sectPr w:rsidR="00331EDD" w:rsidSect="007767A3">
      <w:headerReference w:type="default" r:id="rId11"/>
      <w:headerReference w:type="first" r:id="rId12"/>
      <w:pgSz w:w="11906" w:h="16838" w:code="9"/>
      <w:pgMar w:top="2325" w:right="3686" w:bottom="1276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ED" w:rsidRDefault="00860FED">
      <w:pPr>
        <w:spacing w:line="240" w:lineRule="auto"/>
      </w:pPr>
      <w:r>
        <w:separator/>
      </w:r>
    </w:p>
  </w:endnote>
  <w:endnote w:type="continuationSeparator" w:id="0">
    <w:p w:rsidR="00860FED" w:rsidRDefault="0086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ED" w:rsidRDefault="00860FED">
      <w:pPr>
        <w:spacing w:line="240" w:lineRule="auto"/>
      </w:pPr>
      <w:r>
        <w:separator/>
      </w:r>
    </w:p>
  </w:footnote>
  <w:footnote w:type="continuationSeparator" w:id="0">
    <w:p w:rsidR="00860FED" w:rsidRDefault="0086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6299C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6299C">
      <w:rPr>
        <w:rStyle w:val="Sidetal"/>
        <w:noProof/>
      </w:rPr>
      <w:t>5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C92959" wp14:editId="0644416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038CFE6F" wp14:editId="530993C8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AC4C54"/>
    <w:multiLevelType w:val="hybridMultilevel"/>
    <w:tmpl w:val="58B6C7F6"/>
    <w:lvl w:ilvl="0" w:tplc="E6E0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2F18"/>
    <w:multiLevelType w:val="hybridMultilevel"/>
    <w:tmpl w:val="7D70B924"/>
    <w:lvl w:ilvl="0" w:tplc="104C86F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F2F32E5"/>
    <w:multiLevelType w:val="hybridMultilevel"/>
    <w:tmpl w:val="394C9938"/>
    <w:lvl w:ilvl="0" w:tplc="9E2CAB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17BF4"/>
    <w:multiLevelType w:val="hybridMultilevel"/>
    <w:tmpl w:val="452CF5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6A4"/>
    <w:multiLevelType w:val="hybridMultilevel"/>
    <w:tmpl w:val="A260CE64"/>
    <w:lvl w:ilvl="0" w:tplc="2062B6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D00FB"/>
    <w:multiLevelType w:val="hybridMultilevel"/>
    <w:tmpl w:val="15023B98"/>
    <w:lvl w:ilvl="0" w:tplc="9D1A6A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2E7397"/>
    <w:multiLevelType w:val="hybridMultilevel"/>
    <w:tmpl w:val="E81ACF38"/>
    <w:lvl w:ilvl="0" w:tplc="48B264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C657DE"/>
    <w:multiLevelType w:val="hybridMultilevel"/>
    <w:tmpl w:val="2BCEF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CD389F"/>
    <w:multiLevelType w:val="hybridMultilevel"/>
    <w:tmpl w:val="E0860908"/>
    <w:lvl w:ilvl="0" w:tplc="C0E253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6E55"/>
    <w:multiLevelType w:val="hybridMultilevel"/>
    <w:tmpl w:val="1EB43D3A"/>
    <w:lvl w:ilvl="0" w:tplc="3A761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F1041"/>
    <w:multiLevelType w:val="hybridMultilevel"/>
    <w:tmpl w:val="27845CC6"/>
    <w:lvl w:ilvl="0" w:tplc="81D696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4C3628"/>
    <w:rsid w:val="0002744C"/>
    <w:rsid w:val="00036C2B"/>
    <w:rsid w:val="000832AF"/>
    <w:rsid w:val="000A3975"/>
    <w:rsid w:val="000C0183"/>
    <w:rsid w:val="000C13A3"/>
    <w:rsid w:val="001163B6"/>
    <w:rsid w:val="00120388"/>
    <w:rsid w:val="00163A8D"/>
    <w:rsid w:val="001E4A6B"/>
    <w:rsid w:val="00226693"/>
    <w:rsid w:val="00230D73"/>
    <w:rsid w:val="002325DA"/>
    <w:rsid w:val="00251333"/>
    <w:rsid w:val="00260676"/>
    <w:rsid w:val="002779D0"/>
    <w:rsid w:val="002932B3"/>
    <w:rsid w:val="002A3676"/>
    <w:rsid w:val="002A499B"/>
    <w:rsid w:val="002B53DA"/>
    <w:rsid w:val="002B5736"/>
    <w:rsid w:val="002E6F9A"/>
    <w:rsid w:val="002F13A8"/>
    <w:rsid w:val="00305117"/>
    <w:rsid w:val="00331EDD"/>
    <w:rsid w:val="003E3B9B"/>
    <w:rsid w:val="003E4349"/>
    <w:rsid w:val="00416FE0"/>
    <w:rsid w:val="0044286B"/>
    <w:rsid w:val="004C3628"/>
    <w:rsid w:val="004F516C"/>
    <w:rsid w:val="00504138"/>
    <w:rsid w:val="005151AB"/>
    <w:rsid w:val="005439BC"/>
    <w:rsid w:val="00586C74"/>
    <w:rsid w:val="005A59C2"/>
    <w:rsid w:val="0063728A"/>
    <w:rsid w:val="0065480F"/>
    <w:rsid w:val="006724DD"/>
    <w:rsid w:val="006C3314"/>
    <w:rsid w:val="006C7261"/>
    <w:rsid w:val="006F510B"/>
    <w:rsid w:val="00700253"/>
    <w:rsid w:val="00703E18"/>
    <w:rsid w:val="00743E9B"/>
    <w:rsid w:val="0076299C"/>
    <w:rsid w:val="007767A3"/>
    <w:rsid w:val="00781CBD"/>
    <w:rsid w:val="007E5F37"/>
    <w:rsid w:val="00860FED"/>
    <w:rsid w:val="008D5B5D"/>
    <w:rsid w:val="00904F2B"/>
    <w:rsid w:val="00907B69"/>
    <w:rsid w:val="00911391"/>
    <w:rsid w:val="009B3876"/>
    <w:rsid w:val="009C70F7"/>
    <w:rsid w:val="00A30B33"/>
    <w:rsid w:val="00A972B9"/>
    <w:rsid w:val="00AA185B"/>
    <w:rsid w:val="00AD714E"/>
    <w:rsid w:val="00B11B52"/>
    <w:rsid w:val="00B23B9D"/>
    <w:rsid w:val="00B470BE"/>
    <w:rsid w:val="00B57A46"/>
    <w:rsid w:val="00B74BDB"/>
    <w:rsid w:val="00BA2345"/>
    <w:rsid w:val="00BB46A5"/>
    <w:rsid w:val="00BD2207"/>
    <w:rsid w:val="00BF501F"/>
    <w:rsid w:val="00C12726"/>
    <w:rsid w:val="00C5465E"/>
    <w:rsid w:val="00C62716"/>
    <w:rsid w:val="00C66A6C"/>
    <w:rsid w:val="00CC3392"/>
    <w:rsid w:val="00CD5C1F"/>
    <w:rsid w:val="00CD6851"/>
    <w:rsid w:val="00CF4780"/>
    <w:rsid w:val="00DB1666"/>
    <w:rsid w:val="00E2456A"/>
    <w:rsid w:val="00E24865"/>
    <w:rsid w:val="00E34E1B"/>
    <w:rsid w:val="00E44B59"/>
    <w:rsid w:val="00EC3FFA"/>
    <w:rsid w:val="00F44F1D"/>
    <w:rsid w:val="00F562B2"/>
    <w:rsid w:val="00F924F2"/>
    <w:rsid w:val="00F962EE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link w:val="BrdtekstTegn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B11B52"/>
    <w:rPr>
      <w:rFonts w:ascii="Arial" w:hAnsi="Arial"/>
      <w:sz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48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80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80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8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80F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1163B6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ch@ftnet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hl@ftnet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A7FC-D7C7-42AB-8B2D-65A7DCE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74</TotalTime>
  <Pages>5</Pages>
  <Words>1078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</dc:creator>
  <cp:lastModifiedBy>msch</cp:lastModifiedBy>
  <cp:revision>3</cp:revision>
  <cp:lastPrinted>2002-07-26T09:51:00Z</cp:lastPrinted>
  <dcterms:created xsi:type="dcterms:W3CDTF">2015-09-18T11:59:00Z</dcterms:created>
  <dcterms:modified xsi:type="dcterms:W3CDTF">2015-09-25T11:19:00Z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1. juli 2015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jhl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