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70" w:type="dxa"/>
          <w:right w:w="70" w:type="dxa"/>
        </w:tblCellMar>
        <w:tblLook w:val="0000" w:firstRow="0" w:lastRow="0" w:firstColumn="0" w:lastColumn="0" w:noHBand="0" w:noVBand="0"/>
      </w:tblPr>
      <w:tblGrid>
        <w:gridCol w:w="2408"/>
      </w:tblGrid>
      <w:tr w:rsidR="00163A8D" w14:paraId="6DA3893E" w14:textId="77777777">
        <w:trPr>
          <w:trHeight w:hRule="exact" w:val="2835"/>
        </w:trPr>
        <w:tc>
          <w:tcPr>
            <w:tcW w:w="2408" w:type="dxa"/>
            <w:tcBorders>
              <w:bottom w:val="nil"/>
            </w:tcBorders>
          </w:tcPr>
          <w:p w14:paraId="6932B16D" w14:textId="77777777" w:rsidR="00163A8D" w:rsidRPr="00B23B9D" w:rsidRDefault="00163A8D" w:rsidP="00C21D52">
            <w:pPr>
              <w:pStyle w:val="skakt"/>
              <w:keepNext/>
              <w:keepLines/>
              <w:framePr w:w="0" w:h="8505" w:hRule="exact" w:hSpace="142" w:wrap="around" w:vAnchor="text" w:x="8931" w:y="1"/>
              <w:spacing w:line="288" w:lineRule="auto"/>
              <w:jc w:val="left"/>
              <w:rPr>
                <w:rFonts w:ascii="Arial Black" w:hAnsi="Arial Black"/>
                <w:sz w:val="16"/>
              </w:rPr>
            </w:pPr>
            <w:r w:rsidRPr="00B23B9D">
              <w:rPr>
                <w:rFonts w:ascii="Arial Black" w:hAnsi="Arial Black"/>
                <w:sz w:val="16"/>
              </w:rPr>
              <w:t>Finanstilsynet</w:t>
            </w:r>
          </w:p>
          <w:p w14:paraId="58CDA1AD" w14:textId="77777777" w:rsidR="00163A8D" w:rsidRDefault="00163A8D" w:rsidP="00C21D52">
            <w:pPr>
              <w:pStyle w:val="skakt"/>
              <w:keepNext/>
              <w:keepLines/>
              <w:framePr w:w="0" w:h="8505" w:hRule="exact" w:hSpace="142" w:wrap="around" w:vAnchor="text" w:x="8931" w:y="1"/>
              <w:spacing w:line="288" w:lineRule="auto"/>
              <w:jc w:val="left"/>
              <w:rPr>
                <w:sz w:val="16"/>
              </w:rPr>
            </w:pPr>
          </w:p>
          <w:p w14:paraId="63C04615" w14:textId="72A71C63" w:rsidR="006C7261" w:rsidRDefault="002E0ABE" w:rsidP="00C21D52">
            <w:pPr>
              <w:pStyle w:val="skakt"/>
              <w:keepNext/>
              <w:keepLines/>
              <w:framePr w:w="0" w:h="8505" w:hRule="exact" w:hSpace="142" w:wrap="around" w:vAnchor="text" w:x="8931" w:y="1"/>
              <w:spacing w:line="288" w:lineRule="auto"/>
              <w:jc w:val="left"/>
              <w:rPr>
                <w:sz w:val="16"/>
              </w:rPr>
            </w:pPr>
            <w:bookmarkStart w:id="0" w:name="PCAdato"/>
            <w:bookmarkStart w:id="1" w:name="pDokDato"/>
            <w:bookmarkEnd w:id="0"/>
            <w:r>
              <w:rPr>
                <w:sz w:val="16"/>
              </w:rPr>
              <w:t>24</w:t>
            </w:r>
            <w:r w:rsidR="009F65A4">
              <w:rPr>
                <w:sz w:val="16"/>
              </w:rPr>
              <w:t>. juni</w:t>
            </w:r>
            <w:r w:rsidR="003F584C">
              <w:rPr>
                <w:sz w:val="16"/>
              </w:rPr>
              <w:t xml:space="preserve"> 2022</w:t>
            </w:r>
            <w:bookmarkEnd w:id="1"/>
          </w:p>
          <w:p w14:paraId="624D8478" w14:textId="77777777" w:rsidR="00163A8D" w:rsidRDefault="00163A8D" w:rsidP="00C21D52">
            <w:pPr>
              <w:pStyle w:val="skakt"/>
              <w:keepNext/>
              <w:keepLines/>
              <w:framePr w:w="0" w:h="8505" w:hRule="exact" w:hSpace="142" w:wrap="around" w:vAnchor="text" w:x="8931" w:y="1"/>
              <w:spacing w:line="288" w:lineRule="auto"/>
              <w:jc w:val="left"/>
              <w:rPr>
                <w:sz w:val="16"/>
              </w:rPr>
            </w:pPr>
            <w:bookmarkStart w:id="2" w:name="Kontor"/>
            <w:bookmarkEnd w:id="2"/>
          </w:p>
          <w:p w14:paraId="52DFDE90" w14:textId="77777777" w:rsidR="00163A8D" w:rsidRDefault="006C7261" w:rsidP="00C21D52">
            <w:pPr>
              <w:pStyle w:val="skakt"/>
              <w:keepNext/>
              <w:keepLines/>
              <w:framePr w:w="0" w:h="8505" w:hRule="exact" w:hSpace="142" w:wrap="around" w:vAnchor="text" w:x="8931" w:y="1"/>
              <w:spacing w:line="288" w:lineRule="auto"/>
              <w:jc w:val="left"/>
              <w:rPr>
                <w:sz w:val="16"/>
              </w:rPr>
            </w:pPr>
            <w:r>
              <w:rPr>
                <w:sz w:val="16"/>
              </w:rPr>
              <w:t>J.nr.</w:t>
            </w:r>
            <w:bookmarkStart w:id="3" w:name="PCASag"/>
            <w:bookmarkEnd w:id="3"/>
            <w:r w:rsidR="003F584C">
              <w:rPr>
                <w:sz w:val="16"/>
              </w:rPr>
              <w:t xml:space="preserve"> </w:t>
            </w:r>
            <w:r w:rsidR="003F584C" w:rsidRPr="006559C1">
              <w:rPr>
                <w:sz w:val="16"/>
              </w:rPr>
              <w:t>22-006251</w:t>
            </w:r>
          </w:p>
          <w:p w14:paraId="716A1486" w14:textId="77777777" w:rsidR="003F584C" w:rsidRDefault="003F584C" w:rsidP="00C21D52">
            <w:pPr>
              <w:pStyle w:val="skakt"/>
              <w:keepNext/>
              <w:keepLines/>
              <w:framePr w:w="0" w:h="8505" w:hRule="exact" w:hSpace="142" w:wrap="around" w:vAnchor="text" w:x="8931" w:y="1"/>
              <w:spacing w:line="288" w:lineRule="auto"/>
              <w:jc w:val="left"/>
              <w:rPr>
                <w:sz w:val="16"/>
              </w:rPr>
            </w:pPr>
            <w:bookmarkStart w:id="4" w:name="Initialer"/>
          </w:p>
          <w:p w14:paraId="0DA24D32" w14:textId="77777777" w:rsidR="00C5465E" w:rsidRDefault="003F584C" w:rsidP="00C21D52">
            <w:pPr>
              <w:pStyle w:val="skakt"/>
              <w:keepNext/>
              <w:keepLines/>
              <w:framePr w:w="0" w:h="8505" w:hRule="exact" w:hSpace="142" w:wrap="around" w:vAnchor="text" w:x="8931" w:y="1"/>
              <w:spacing w:line="288" w:lineRule="auto"/>
              <w:jc w:val="left"/>
              <w:rPr>
                <w:sz w:val="16"/>
              </w:rPr>
            </w:pPr>
            <w:r>
              <w:rPr>
                <w:sz w:val="16"/>
              </w:rPr>
              <w:t>ILKA/TLG</w:t>
            </w:r>
            <w:bookmarkEnd w:id="4"/>
          </w:p>
          <w:p w14:paraId="26783C06" w14:textId="77777777" w:rsidR="00163A8D" w:rsidRDefault="00163A8D" w:rsidP="00C21D52">
            <w:pPr>
              <w:pStyle w:val="skakt"/>
              <w:keepNext/>
              <w:keepLines/>
              <w:framePr w:w="0" w:h="8505" w:hRule="exact" w:hSpace="142" w:wrap="around" w:vAnchor="text" w:x="8931" w:y="1"/>
              <w:spacing w:line="288" w:lineRule="auto"/>
            </w:pPr>
          </w:p>
        </w:tc>
      </w:tr>
    </w:tbl>
    <w:p w14:paraId="35D51246" w14:textId="77777777" w:rsidR="00163A8D" w:rsidRDefault="00163A8D" w:rsidP="00C21D52">
      <w:pPr>
        <w:pStyle w:val="Brdtekst"/>
        <w:spacing w:line="288" w:lineRule="auto"/>
      </w:pPr>
    </w:p>
    <w:p w14:paraId="4A2ADFEB" w14:textId="77777777" w:rsidR="00C21D52" w:rsidRDefault="00C21D52" w:rsidP="00C21D52">
      <w:pPr>
        <w:pStyle w:val="Overskrift1"/>
        <w:spacing w:line="288" w:lineRule="auto"/>
      </w:pPr>
      <w:bookmarkStart w:id="5" w:name="PCAoverskrift"/>
      <w:bookmarkEnd w:id="5"/>
    </w:p>
    <w:p w14:paraId="69DD2810" w14:textId="77777777" w:rsidR="00C21D52" w:rsidRDefault="00C21D52" w:rsidP="00C21D52">
      <w:pPr>
        <w:pStyle w:val="Overskrift1"/>
        <w:spacing w:line="288" w:lineRule="auto"/>
      </w:pPr>
    </w:p>
    <w:p w14:paraId="6456EB04" w14:textId="77777777" w:rsidR="00C21D52" w:rsidRDefault="00C21D52" w:rsidP="00C21D52">
      <w:pPr>
        <w:pStyle w:val="Overskrift1"/>
        <w:spacing w:line="288" w:lineRule="auto"/>
      </w:pPr>
    </w:p>
    <w:p w14:paraId="7582E64C" w14:textId="77777777" w:rsidR="00163A8D" w:rsidRPr="00CF4780" w:rsidRDefault="00C21D52" w:rsidP="00C21D52">
      <w:pPr>
        <w:pStyle w:val="Overskrift1"/>
        <w:spacing w:line="288" w:lineRule="auto"/>
      </w:pPr>
      <w:r>
        <w:t xml:space="preserve">Model for søjle II-likviditetskrav for realkreditinstitutter </w:t>
      </w:r>
    </w:p>
    <w:p w14:paraId="39C9D663" w14:textId="77777777" w:rsidR="00163A8D" w:rsidRDefault="00163A8D" w:rsidP="00C21D52">
      <w:pPr>
        <w:pStyle w:val="Brdtekst"/>
        <w:spacing w:line="288" w:lineRule="auto"/>
      </w:pPr>
    </w:p>
    <w:p w14:paraId="0F3279A5" w14:textId="38297FC0" w:rsidR="00C21D52" w:rsidRDefault="000E5690" w:rsidP="00C21D52">
      <w:pPr>
        <w:pStyle w:val="Brdtekst"/>
        <w:spacing w:line="288" w:lineRule="auto"/>
      </w:pPr>
      <w:bookmarkStart w:id="6" w:name="PCAStart"/>
      <w:bookmarkEnd w:id="6"/>
      <w:r>
        <w:t>Nedenfor beskrives</w:t>
      </w:r>
      <w:r w:rsidR="00C21D52">
        <w:t xml:space="preserve"> en model for et individuelt og risikobaseret søjle II-likviditetstillæg</w:t>
      </w:r>
      <w:r w:rsidR="00070650">
        <w:t xml:space="preserve"> for realkreditinst</w:t>
      </w:r>
      <w:r w:rsidR="00A23873">
        <w:t>it</w:t>
      </w:r>
      <w:r w:rsidR="00070650">
        <w:t>utter</w:t>
      </w:r>
      <w:r w:rsidR="00C21D52">
        <w:t>. Denne model med søjle II-likviditetstillæg adresserer eksplicit tre likviditetsrisici</w:t>
      </w:r>
      <w:r w:rsidR="00070650">
        <w:t>, som er særegne for realkreditinstitutternes forretningsmodel</w:t>
      </w:r>
      <w:r w:rsidR="009F65A4">
        <w:t>,</w:t>
      </w:r>
      <w:r w:rsidR="00070650">
        <w:t xml:space="preserve"> og som ikke </w:t>
      </w:r>
      <w:r w:rsidR="009F65A4">
        <w:t xml:space="preserve">i tilstrækkelig omfang </w:t>
      </w:r>
      <w:r w:rsidR="00070650">
        <w:t xml:space="preserve">adresseres af </w:t>
      </w:r>
      <w:r>
        <w:t xml:space="preserve">de </w:t>
      </w:r>
      <w:r w:rsidR="00070650">
        <w:t xml:space="preserve">gældende </w:t>
      </w:r>
      <w:r>
        <w:t>likviditets</w:t>
      </w:r>
      <w:r w:rsidR="00070650">
        <w:t>krav</w:t>
      </w:r>
      <w:r w:rsidR="00C21D52">
        <w:t>: 1) Ikke-kendte restancer, 2) Ikke-kendte åbne konverteringer og 3) Refinansieringsrisici.</w:t>
      </w:r>
    </w:p>
    <w:p w14:paraId="1E717514" w14:textId="77777777" w:rsidR="00C21D52" w:rsidRDefault="00C21D52" w:rsidP="00C21D52">
      <w:pPr>
        <w:pStyle w:val="Brdtekst"/>
        <w:spacing w:line="288" w:lineRule="auto"/>
      </w:pPr>
    </w:p>
    <w:p w14:paraId="01A53458" w14:textId="77777777" w:rsidR="00C21D52" w:rsidRPr="00C21D52" w:rsidRDefault="00C21D52" w:rsidP="00C21D52">
      <w:pPr>
        <w:pStyle w:val="Overskrift2"/>
        <w:spacing w:before="0" w:after="0" w:line="288" w:lineRule="auto"/>
      </w:pPr>
      <w:r w:rsidRPr="00C21D52">
        <w:t>Søjle II-likviditetstillæg vedr. ikke-kendte restancer</w:t>
      </w:r>
    </w:p>
    <w:p w14:paraId="39D5D0A9" w14:textId="242281CC" w:rsidR="00070650" w:rsidRDefault="00070650" w:rsidP="00C21D52">
      <w:pPr>
        <w:pStyle w:val="Brdtekst"/>
        <w:spacing w:line="288" w:lineRule="auto"/>
      </w:pPr>
      <w:r>
        <w:t>Søjle II-likviditetstillægget vedrørende ikke-kendte restancer skal adressere risiko</w:t>
      </w:r>
      <w:r w:rsidR="000E5690">
        <w:t>en</w:t>
      </w:r>
      <w:r>
        <w:t xml:space="preserve">, at </w:t>
      </w:r>
      <w:r w:rsidR="00A23873">
        <w:t xml:space="preserve">låntagernes </w:t>
      </w:r>
      <w:r>
        <w:t>rente- og afdragsbetalinger knyttet til næstkommende termin udebliver.</w:t>
      </w:r>
    </w:p>
    <w:p w14:paraId="67E4DAB8" w14:textId="17E7338E" w:rsidR="009F65A4" w:rsidRDefault="009F65A4" w:rsidP="00C21D52">
      <w:pPr>
        <w:pStyle w:val="Brdtekst"/>
        <w:spacing w:line="288" w:lineRule="auto"/>
      </w:pPr>
    </w:p>
    <w:p w14:paraId="5AB2C22E" w14:textId="2E42FA74" w:rsidR="00070650" w:rsidRDefault="009F65A4" w:rsidP="00C21D52">
      <w:pPr>
        <w:pStyle w:val="Brdtekst"/>
        <w:spacing w:line="288" w:lineRule="auto"/>
      </w:pPr>
      <w:r>
        <w:t>Realkreditinstitutterne</w:t>
      </w:r>
      <w:r w:rsidRPr="006559C1">
        <w:t xml:space="preserve"> </w:t>
      </w:r>
      <w:r>
        <w:t xml:space="preserve">skal </w:t>
      </w:r>
      <w:r w:rsidRPr="006559C1">
        <w:t>dermed have likviditet, som er med til at sikre, at ejerne af realkreditobligationer modtager rente- og afdrag trods manglende betalinger på instituttets</w:t>
      </w:r>
      <w:r>
        <w:t xml:space="preserve"> udlån i form af ikke-kendte re</w:t>
      </w:r>
      <w:r w:rsidRPr="006559C1">
        <w:t xml:space="preserve">stancer i en situation med stress. </w:t>
      </w:r>
      <w:r>
        <w:t>Realkreditinstitutterne</w:t>
      </w:r>
      <w:r w:rsidRPr="006559C1">
        <w:t xml:space="preserve"> skal dermed tage højde for denne likviditetsrisici på terminsbasis. </w:t>
      </w:r>
    </w:p>
    <w:p w14:paraId="5A8EFBF5" w14:textId="77777777" w:rsidR="004B093D" w:rsidRDefault="004B093D" w:rsidP="00C21D52">
      <w:pPr>
        <w:pStyle w:val="Brdtekst"/>
        <w:spacing w:line="288" w:lineRule="auto"/>
      </w:pPr>
    </w:p>
    <w:p w14:paraId="16D03B66" w14:textId="20112BE8" w:rsidR="00C21D52" w:rsidRDefault="00C21D52" w:rsidP="00C21D52">
      <w:pPr>
        <w:pStyle w:val="Brdtekst"/>
        <w:spacing w:line="288" w:lineRule="auto"/>
      </w:pPr>
      <w:r>
        <w:t xml:space="preserve">Søjle II-likviditetstillægget vedrørende ikke-kendte restancer fastsættes </w:t>
      </w:r>
      <w:r w:rsidR="009F65A4">
        <w:t xml:space="preserve">helt konkret </w:t>
      </w:r>
      <w:r>
        <w:t xml:space="preserve">som en procentdel af afdrag og rentebetalingerne ved den næstkommende termin i et usandsynligt, men ikke utænkeligt stressscenarie. Det er op til det enkelte realkreditinstitut at fastsætte procentsatsen for hhv. privat- og erhvervskunder på baggrund af egne risici, erfaringer og data. </w:t>
      </w:r>
    </w:p>
    <w:p w14:paraId="4D8385FB" w14:textId="77777777" w:rsidR="00C21D52" w:rsidRDefault="00C21D52" w:rsidP="00C21D52">
      <w:pPr>
        <w:pStyle w:val="Brdtekst"/>
        <w:spacing w:line="288" w:lineRule="auto"/>
      </w:pPr>
    </w:p>
    <w:p w14:paraId="49B7C46D" w14:textId="62B9C09A" w:rsidR="00070650" w:rsidRDefault="00070650" w:rsidP="00070650">
      <w:pPr>
        <w:pStyle w:val="Brdtekst"/>
        <w:spacing w:line="288" w:lineRule="auto"/>
      </w:pPr>
      <w:r>
        <w:t xml:space="preserve">Realkreditinstitutterne skal desuden tage højde for sektorens historiske erfaringer tilbage fra starten af 1990’erne, da den seneste krise </w:t>
      </w:r>
      <w:r w:rsidR="000E5690">
        <w:t>ikke er</w:t>
      </w:r>
      <w:r>
        <w:t xml:space="preserve"> repræsentativ for et højt niveau af restancer i en krise.</w:t>
      </w:r>
    </w:p>
    <w:p w14:paraId="29F76610" w14:textId="77777777" w:rsidR="00070650" w:rsidRDefault="00070650" w:rsidP="00070650">
      <w:pPr>
        <w:pStyle w:val="Brdtekst"/>
        <w:spacing w:line="288" w:lineRule="auto"/>
      </w:pPr>
    </w:p>
    <w:p w14:paraId="13132CD6" w14:textId="77777777" w:rsidR="00C21D52" w:rsidRDefault="00C21D52" w:rsidP="00C21D52">
      <w:pPr>
        <w:pStyle w:val="Brdtekst"/>
        <w:spacing w:line="288" w:lineRule="auto"/>
      </w:pPr>
      <w:r>
        <w:t xml:space="preserve">Tillægget opgøres med fradrag for kendte restancer, da disse indregnes i LCR-kravet. Tillægges opgøres desuden til nul i den </w:t>
      </w:r>
      <w:r w:rsidR="00070650">
        <w:t>30 dages-</w:t>
      </w:r>
      <w:r>
        <w:t xml:space="preserve">periode, hvor kommende og forventede afdrag og rentebetalinger til næstkommende termin og de videre betalinger til investorerne bag er omfattet af LCR-kravet. </w:t>
      </w:r>
    </w:p>
    <w:p w14:paraId="7A4BFF0C" w14:textId="77777777" w:rsidR="00C21D52" w:rsidRDefault="00C21D52" w:rsidP="00C21D52">
      <w:pPr>
        <w:pStyle w:val="Brdtekst"/>
        <w:spacing w:line="288" w:lineRule="auto"/>
      </w:pPr>
    </w:p>
    <w:p w14:paraId="5084696B" w14:textId="77777777" w:rsidR="00C21D52" w:rsidRPr="00C21D52" w:rsidRDefault="00C21D52" w:rsidP="00C21D52">
      <w:pPr>
        <w:pStyle w:val="Brdtekst"/>
        <w:spacing w:line="288" w:lineRule="auto"/>
        <w:rPr>
          <w:i/>
        </w:rPr>
      </w:pPr>
      <w:r w:rsidRPr="00C21D52">
        <w:rPr>
          <w:i/>
        </w:rPr>
        <w:t>Metode – mere end 30 dage til termin:</w:t>
      </w:r>
    </w:p>
    <w:p w14:paraId="02CD03AB" w14:textId="77777777" w:rsidR="00C21D52" w:rsidRPr="00C21D52" w:rsidRDefault="00C21D52" w:rsidP="00C21D52">
      <w:pPr>
        <w:pStyle w:val="Brdtekst"/>
        <w:spacing w:line="288" w:lineRule="auto"/>
        <w:rPr>
          <w:i/>
        </w:rPr>
      </w:pPr>
      <w:r w:rsidRPr="00C21D52">
        <w:rPr>
          <w:i/>
        </w:rPr>
        <w:lastRenderedPageBreak/>
        <w:t>[Afdrag og rentebetalingerne</w:t>
      </w:r>
      <w:r>
        <w:rPr>
          <w:i/>
        </w:rPr>
        <w:t xml:space="preserve">] * </w:t>
      </w:r>
      <w:r w:rsidRPr="00C21D52">
        <w:rPr>
          <w:i/>
        </w:rPr>
        <w:t>procentdel i et usandsynligt, men i</w:t>
      </w:r>
      <w:r>
        <w:rPr>
          <w:i/>
        </w:rPr>
        <w:t>kke utænkeligt stressscenarie – kendte restancer</w:t>
      </w:r>
      <w:r w:rsidRPr="00C21D52">
        <w:rPr>
          <w:i/>
        </w:rPr>
        <w:t xml:space="preserve"> </w:t>
      </w:r>
    </w:p>
    <w:p w14:paraId="0E1269C7" w14:textId="77777777" w:rsidR="00C21D52" w:rsidRPr="00C21D52" w:rsidRDefault="00C21D52" w:rsidP="00C21D52">
      <w:pPr>
        <w:pStyle w:val="Brdtekst"/>
        <w:spacing w:line="288" w:lineRule="auto"/>
        <w:rPr>
          <w:i/>
        </w:rPr>
      </w:pPr>
    </w:p>
    <w:p w14:paraId="7370A2AD" w14:textId="77777777" w:rsidR="00C21D52" w:rsidRPr="00C21D52" w:rsidRDefault="00C21D52" w:rsidP="00C21D52">
      <w:pPr>
        <w:pStyle w:val="Brdtekst"/>
        <w:spacing w:line="288" w:lineRule="auto"/>
        <w:rPr>
          <w:i/>
        </w:rPr>
      </w:pPr>
      <w:r w:rsidRPr="00C21D52">
        <w:rPr>
          <w:i/>
        </w:rPr>
        <w:t>Metode – 30 dage før termin:</w:t>
      </w:r>
    </w:p>
    <w:p w14:paraId="431DBE35" w14:textId="77777777" w:rsidR="00C21D52" w:rsidRPr="00C21D52" w:rsidRDefault="00C21D52" w:rsidP="00C21D52">
      <w:pPr>
        <w:pStyle w:val="Brdtekst"/>
        <w:spacing w:line="288" w:lineRule="auto"/>
        <w:rPr>
          <w:i/>
        </w:rPr>
      </w:pPr>
      <w:r w:rsidRPr="00C21D52">
        <w:rPr>
          <w:i/>
        </w:rPr>
        <w:t>[0]</w:t>
      </w:r>
    </w:p>
    <w:p w14:paraId="6716DEBA" w14:textId="77777777" w:rsidR="00C21D52" w:rsidRDefault="00C21D52" w:rsidP="00C21D52">
      <w:pPr>
        <w:pStyle w:val="Brdtekst"/>
        <w:spacing w:line="288" w:lineRule="auto"/>
      </w:pPr>
    </w:p>
    <w:p w14:paraId="736B7FDA" w14:textId="77777777" w:rsidR="00C21D52" w:rsidRPr="00C21D52" w:rsidRDefault="00C21D52" w:rsidP="00C21D52">
      <w:pPr>
        <w:pStyle w:val="Overskrift2"/>
        <w:spacing w:before="0" w:after="0" w:line="288" w:lineRule="auto"/>
      </w:pPr>
      <w:r w:rsidRPr="00C21D52">
        <w:t>Søjle II-likviditetstillæg vedr. ikke-kendte åbne konverteringer</w:t>
      </w:r>
    </w:p>
    <w:p w14:paraId="7E14B8D1" w14:textId="5E768566" w:rsidR="00070650" w:rsidRDefault="00070650" w:rsidP="00C21D52">
      <w:pPr>
        <w:pStyle w:val="Brdtekst"/>
        <w:spacing w:line="288" w:lineRule="auto"/>
      </w:pPr>
      <w:r>
        <w:t xml:space="preserve">Søjle II-likviditetstillægget vedrørende åbne ikke-kendte konverteringer skal adressere </w:t>
      </w:r>
      <w:r w:rsidR="000E5690">
        <w:t>risikoen</w:t>
      </w:r>
      <w:r>
        <w:t xml:space="preserve"> forbundet med</w:t>
      </w:r>
      <w:r w:rsidR="000E5690">
        <w:t>,</w:t>
      </w:r>
      <w:r>
        <w:t xml:space="preserve"> at låntagere har opsagt deres lån til termin uden samtidigt at have indgået aftale om indgåelse af et nyt lån.</w:t>
      </w:r>
    </w:p>
    <w:p w14:paraId="59C0D14C" w14:textId="0046E493" w:rsidR="009F65A4" w:rsidRDefault="009F65A4" w:rsidP="00C21D52">
      <w:pPr>
        <w:pStyle w:val="Brdtekst"/>
        <w:spacing w:line="288" w:lineRule="auto"/>
      </w:pPr>
    </w:p>
    <w:p w14:paraId="7C03160B" w14:textId="0D84B9B9" w:rsidR="00070650" w:rsidRDefault="009F65A4" w:rsidP="00C21D52">
      <w:pPr>
        <w:pStyle w:val="Brdtekst"/>
        <w:spacing w:line="288" w:lineRule="auto"/>
      </w:pPr>
      <w:r w:rsidRPr="006559C1">
        <w:t xml:space="preserve">Med søjle II-kravet vil </w:t>
      </w:r>
      <w:r>
        <w:t>realkreditinstitutterne</w:t>
      </w:r>
      <w:r w:rsidRPr="006559C1">
        <w:t xml:space="preserve"> </w:t>
      </w:r>
      <w:r>
        <w:t xml:space="preserve">dermed </w:t>
      </w:r>
      <w:r w:rsidRPr="006559C1">
        <w:t xml:space="preserve">også skulle have likviditet, som er med til at sikre, at lån betales tilbage i en situation, hvor ekstraordinært mange lån er blevet opsagt til termin med henblik på omlægning, men hvor disse lån ikke </w:t>
      </w:r>
      <w:r w:rsidR="000E5690">
        <w:t xml:space="preserve">alle indfries som aftalt, og der derfor mangler midler til betaling af </w:t>
      </w:r>
      <w:r w:rsidR="00AF740E">
        <w:t>de obligationer</w:t>
      </w:r>
      <w:r w:rsidR="000E5690">
        <w:t xml:space="preserve">, der er blevet udtrukket. </w:t>
      </w:r>
    </w:p>
    <w:p w14:paraId="7B66524E" w14:textId="77777777" w:rsidR="004B093D" w:rsidRDefault="004B093D" w:rsidP="00C21D52">
      <w:pPr>
        <w:pStyle w:val="Brdtekst"/>
        <w:spacing w:line="288" w:lineRule="auto"/>
      </w:pPr>
    </w:p>
    <w:p w14:paraId="1D71A866" w14:textId="4FB55AB9" w:rsidR="00C21D52" w:rsidRDefault="00C21D52" w:rsidP="00C21D52">
      <w:pPr>
        <w:pStyle w:val="Brdtekst"/>
        <w:spacing w:line="288" w:lineRule="auto"/>
      </w:pPr>
      <w:r>
        <w:t xml:space="preserve">Søjle II-likviditetstillægget vedrørende åbne ikke-kendte konverteringer bør </w:t>
      </w:r>
      <w:r w:rsidR="009F65A4">
        <w:t xml:space="preserve">helt konkret </w:t>
      </w:r>
      <w:r>
        <w:t xml:space="preserve">opgøres til minimum 30 pct. af de åbne konverteringer i et usandsynligt, men ikke utænkeligt stressscenarie. </w:t>
      </w:r>
    </w:p>
    <w:p w14:paraId="2C560309" w14:textId="77777777" w:rsidR="00C21D52" w:rsidRDefault="00C21D52" w:rsidP="00C21D52">
      <w:pPr>
        <w:pStyle w:val="Brdtekst"/>
        <w:spacing w:line="288" w:lineRule="auto"/>
      </w:pPr>
    </w:p>
    <w:p w14:paraId="7ABF29A9" w14:textId="77777777" w:rsidR="00C21D52" w:rsidRDefault="00C21D52" w:rsidP="00C21D52">
      <w:pPr>
        <w:pStyle w:val="Brdtekst"/>
        <w:spacing w:line="288" w:lineRule="auto"/>
      </w:pPr>
      <w:r>
        <w:t>Forretningsmæssige ændringer kan dog gøre, at historiske data ikke nødvendigvis vil være retvisende for, hvilke risici og niveauer et realkreditinstitut kan forvente fremadrettet. Det er op til det enkelte realkreditinstitut at fastsætte mængden af åbne konverteringer i et stressscenarie på baggrund af egne risici, erfaringer og data.</w:t>
      </w:r>
    </w:p>
    <w:p w14:paraId="12AE3DD8" w14:textId="77777777" w:rsidR="00C21D52" w:rsidRDefault="00C21D52" w:rsidP="00C21D52">
      <w:pPr>
        <w:pStyle w:val="Brdtekst"/>
        <w:spacing w:line="288" w:lineRule="auto"/>
      </w:pPr>
    </w:p>
    <w:p w14:paraId="41874E47" w14:textId="77777777" w:rsidR="00C21D52" w:rsidRDefault="00C21D52" w:rsidP="00C21D52">
      <w:pPr>
        <w:pStyle w:val="Brdtekst"/>
        <w:spacing w:line="288" w:lineRule="auto"/>
      </w:pPr>
      <w:r>
        <w:t xml:space="preserve">Når åbne konverteringer indgår i LCR-kravet, skal disse pengestrømme indgå som en almindelig udgående pengestrøm med en vægt på 100 pct., mens vægten på den indgående pengestrøm vil være på enten 50 pct. eller 100 pct. afhængig af låntager. Åbne konverteringer indgår i LCR-kravet 30 dage før terminen og helt frem til termin, da LCR skal opgøres dagligt. </w:t>
      </w:r>
    </w:p>
    <w:p w14:paraId="7ED2C637" w14:textId="77777777" w:rsidR="00C21D52" w:rsidRDefault="00C21D52" w:rsidP="00C21D52">
      <w:pPr>
        <w:pStyle w:val="Brdtekst"/>
        <w:spacing w:line="288" w:lineRule="auto"/>
      </w:pPr>
    </w:p>
    <w:p w14:paraId="07067545" w14:textId="09D50AF1" w:rsidR="005F1148" w:rsidRDefault="00C21D52" w:rsidP="00C21D52">
      <w:pPr>
        <w:pStyle w:val="Brdtekst"/>
        <w:spacing w:line="288" w:lineRule="auto"/>
      </w:pPr>
      <w:r>
        <w:t>Hvis mængden af åbne konverteringer, der indgår i LCR-kravet, er lavere end mængden af åbne konverteringer, der indgår i søjle II-likviditetstillægget, skal realkreditinstituttet i de måneder, hvor åbne konverteringer indgår i LCR-kravet, tage differencen mellem de to beløb som søjle II-likviditetstillæg. I de måneder, hvor der er mere end 30 dage til termin, tages den fulde størrelse af søjle II-likviditetstillægget.</w:t>
      </w:r>
      <w:r w:rsidR="005F1148">
        <w:t xml:space="preserve"> Dermed sikres et mere stabilt krav.</w:t>
      </w:r>
    </w:p>
    <w:p w14:paraId="043D46B8" w14:textId="77777777" w:rsidR="00C21D52" w:rsidRDefault="00C21D52" w:rsidP="00C21D52">
      <w:pPr>
        <w:pStyle w:val="Brdtekst"/>
        <w:spacing w:line="288" w:lineRule="auto"/>
      </w:pPr>
    </w:p>
    <w:p w14:paraId="3DCEB96A" w14:textId="77777777" w:rsidR="00C21D52" w:rsidRPr="00C21D52" w:rsidRDefault="00C21D52" w:rsidP="00C21D52">
      <w:pPr>
        <w:pStyle w:val="Brdtekst"/>
        <w:spacing w:line="288" w:lineRule="auto"/>
        <w:rPr>
          <w:i/>
        </w:rPr>
      </w:pPr>
      <w:r w:rsidRPr="00C21D52">
        <w:rPr>
          <w:i/>
        </w:rPr>
        <w:t>Metode – mere end 30 dage til termin:</w:t>
      </w:r>
    </w:p>
    <w:p w14:paraId="3EABF6AB" w14:textId="77777777" w:rsidR="00C21D52" w:rsidRPr="00C21D52" w:rsidRDefault="00C21D52" w:rsidP="00C21D52">
      <w:pPr>
        <w:pStyle w:val="Brdtekst"/>
        <w:spacing w:line="288" w:lineRule="auto"/>
        <w:rPr>
          <w:i/>
        </w:rPr>
      </w:pPr>
      <w:r w:rsidRPr="00C21D52">
        <w:rPr>
          <w:i/>
        </w:rPr>
        <w:t>[Åbne konverteringer i et sandsynligt, men ikke utænkeligt stressscenarie] * minimum 30 pct.</w:t>
      </w:r>
    </w:p>
    <w:p w14:paraId="6622CBD2" w14:textId="77777777" w:rsidR="00C21D52" w:rsidRPr="00C21D52" w:rsidRDefault="00C21D52" w:rsidP="00C21D52">
      <w:pPr>
        <w:pStyle w:val="Brdtekst"/>
        <w:spacing w:line="288" w:lineRule="auto"/>
        <w:rPr>
          <w:i/>
        </w:rPr>
      </w:pPr>
    </w:p>
    <w:p w14:paraId="5FF21EFD" w14:textId="77777777" w:rsidR="00C21D52" w:rsidRPr="00C21D52" w:rsidRDefault="00C21D52" w:rsidP="00C21D52">
      <w:pPr>
        <w:pStyle w:val="Brdtekst"/>
        <w:spacing w:line="288" w:lineRule="auto"/>
        <w:rPr>
          <w:i/>
        </w:rPr>
      </w:pPr>
      <w:r w:rsidRPr="00C21D52">
        <w:rPr>
          <w:i/>
        </w:rPr>
        <w:t>Metode – 30 dage før termin:</w:t>
      </w:r>
    </w:p>
    <w:p w14:paraId="669BB8BC" w14:textId="77777777" w:rsidR="00C21D52" w:rsidRPr="00C21D52" w:rsidRDefault="00C21D52" w:rsidP="00C21D52">
      <w:pPr>
        <w:pStyle w:val="Brdtekst"/>
        <w:spacing w:line="288" w:lineRule="auto"/>
        <w:rPr>
          <w:i/>
        </w:rPr>
      </w:pPr>
      <w:r w:rsidRPr="00C21D52">
        <w:rPr>
          <w:i/>
        </w:rPr>
        <w:lastRenderedPageBreak/>
        <w:t xml:space="preserve">Max {[Åbne konverteringer i et sandsynligt, men ikke utænkeligt stressscenarie * minimum 30 pct.]; </w:t>
      </w:r>
    </w:p>
    <w:p w14:paraId="7F0AE28E" w14:textId="77777777" w:rsidR="00C21D52" w:rsidRPr="00C21D52" w:rsidRDefault="00C21D52" w:rsidP="00C21D52">
      <w:pPr>
        <w:pStyle w:val="Brdtekst"/>
        <w:spacing w:line="288" w:lineRule="auto"/>
        <w:rPr>
          <w:i/>
        </w:rPr>
      </w:pPr>
      <w:r w:rsidRPr="00C21D52">
        <w:rPr>
          <w:i/>
        </w:rPr>
        <w:t>[Åbne konverteringer i LCR 30 dage før termin, som indberettes i LCR]}</w:t>
      </w:r>
    </w:p>
    <w:p w14:paraId="5FA24EC1" w14:textId="77777777" w:rsidR="00C21D52" w:rsidRPr="00C21D52" w:rsidRDefault="00C21D52" w:rsidP="00C21D52">
      <w:pPr>
        <w:pStyle w:val="Brdtekst"/>
        <w:spacing w:line="288" w:lineRule="auto"/>
        <w:rPr>
          <w:i/>
        </w:rPr>
      </w:pPr>
      <w:r w:rsidRPr="00C21D52">
        <w:rPr>
          <w:i/>
        </w:rPr>
        <w:t>Hvis max er ”Åbne konverteringer i et sandsynligt, men ikke utænkeligt stressscenarie * minimum 30 pct.”, tages differencen mellem de to ovenstående beløb som søjle II-likviditetstillæg, ellers er der ingen søjle II-likviditetstillæg i denne periode.</w:t>
      </w:r>
    </w:p>
    <w:p w14:paraId="70B434FA" w14:textId="77777777" w:rsidR="00C21D52" w:rsidRPr="00C21D52" w:rsidRDefault="00C21D52" w:rsidP="00C21D52">
      <w:pPr>
        <w:pStyle w:val="Brdtekst"/>
        <w:spacing w:line="288" w:lineRule="auto"/>
        <w:rPr>
          <w:i/>
        </w:rPr>
      </w:pPr>
    </w:p>
    <w:p w14:paraId="4C61461E" w14:textId="77777777" w:rsidR="00C21D52" w:rsidRPr="00C21D52" w:rsidRDefault="00C21D52" w:rsidP="00C21D52">
      <w:pPr>
        <w:pStyle w:val="Brdtekst"/>
        <w:spacing w:line="288" w:lineRule="auto"/>
        <w:rPr>
          <w:i/>
        </w:rPr>
      </w:pPr>
      <w:r w:rsidRPr="00C21D52">
        <w:rPr>
          <w:i/>
        </w:rPr>
        <w:t xml:space="preserve">Eksempel – 30 dage før termin – med søjle II-likviditetstillæg: </w:t>
      </w:r>
    </w:p>
    <w:p w14:paraId="4ACBCAEF" w14:textId="77777777" w:rsidR="00C21D52" w:rsidRPr="00C21D52" w:rsidRDefault="00C21D52" w:rsidP="00C21D52">
      <w:pPr>
        <w:pStyle w:val="Brdtekst"/>
        <w:spacing w:line="288" w:lineRule="auto"/>
        <w:rPr>
          <w:i/>
          <w:lang w:val="en-US"/>
        </w:rPr>
      </w:pPr>
      <w:r w:rsidRPr="00C21D52">
        <w:rPr>
          <w:i/>
          <w:lang w:val="en-US"/>
        </w:rPr>
        <w:t>Max {[10 mia. * minimum 30 pct.];[4 mia. * 50 %]} = Max {3 mia.;2 mia.}</w:t>
      </w:r>
    </w:p>
    <w:p w14:paraId="08A66DBF" w14:textId="77777777" w:rsidR="00115089" w:rsidRDefault="00115089" w:rsidP="00C21D52">
      <w:pPr>
        <w:pStyle w:val="Brdtekst"/>
        <w:spacing w:line="288" w:lineRule="auto"/>
        <w:rPr>
          <w:i/>
        </w:rPr>
      </w:pPr>
      <w:r>
        <w:rPr>
          <w:i/>
        </w:rPr>
        <w:t xml:space="preserve">3 mia. &gt; 2 mia. </w:t>
      </w:r>
      <w:r w:rsidR="00C21D52" w:rsidRPr="00C21D52">
        <w:rPr>
          <w:i/>
        </w:rPr>
        <w:t xml:space="preserve"> </w:t>
      </w:r>
    </w:p>
    <w:p w14:paraId="07350B18" w14:textId="721AC938" w:rsidR="00C21D52" w:rsidRPr="00C21D52" w:rsidRDefault="00C21D52" w:rsidP="00C21D52">
      <w:pPr>
        <w:pStyle w:val="Brdtekst"/>
        <w:spacing w:line="288" w:lineRule="auto"/>
        <w:rPr>
          <w:i/>
        </w:rPr>
      </w:pPr>
      <w:r w:rsidRPr="00C21D52">
        <w:rPr>
          <w:i/>
        </w:rPr>
        <w:t>3 mia. – 2 mia. = 1 mia. skal tages som søjle II-likviditetstillæg.</w:t>
      </w:r>
    </w:p>
    <w:p w14:paraId="18F74A26" w14:textId="77777777" w:rsidR="00C21D52" w:rsidRPr="00C21D52" w:rsidRDefault="00C21D52" w:rsidP="00C21D52">
      <w:pPr>
        <w:pStyle w:val="Brdtekst"/>
        <w:spacing w:line="288" w:lineRule="auto"/>
        <w:rPr>
          <w:i/>
        </w:rPr>
      </w:pPr>
    </w:p>
    <w:p w14:paraId="61E450A5" w14:textId="77777777" w:rsidR="00C21D52" w:rsidRPr="00C21D52" w:rsidRDefault="00C21D52" w:rsidP="00C21D52">
      <w:pPr>
        <w:pStyle w:val="Brdtekst"/>
        <w:spacing w:line="288" w:lineRule="auto"/>
        <w:rPr>
          <w:i/>
        </w:rPr>
      </w:pPr>
      <w:r w:rsidRPr="00C21D52">
        <w:rPr>
          <w:i/>
        </w:rPr>
        <w:t xml:space="preserve">Eksempel – 30 dage før termin – uden søjle II-likviditetstillæg: </w:t>
      </w:r>
    </w:p>
    <w:p w14:paraId="0EF6B6AA" w14:textId="77777777" w:rsidR="00C21D52" w:rsidRPr="00C21D52" w:rsidRDefault="00C21D52" w:rsidP="00C21D52">
      <w:pPr>
        <w:pStyle w:val="Brdtekst"/>
        <w:spacing w:line="288" w:lineRule="auto"/>
        <w:rPr>
          <w:i/>
          <w:lang w:val="en-US"/>
        </w:rPr>
      </w:pPr>
      <w:r w:rsidRPr="00C21D52">
        <w:rPr>
          <w:i/>
          <w:lang w:val="en-US"/>
        </w:rPr>
        <w:t>Max {[10 mia. * minimum 30 pct.];[7 mia. * 50 %]} = Max {3 mia.;3,5 mia.}</w:t>
      </w:r>
    </w:p>
    <w:p w14:paraId="12A38506" w14:textId="618E223A" w:rsidR="00115089" w:rsidRDefault="00C21D52" w:rsidP="00C21D52">
      <w:pPr>
        <w:pStyle w:val="Brdtekst"/>
        <w:spacing w:line="288" w:lineRule="auto"/>
        <w:rPr>
          <w:i/>
        </w:rPr>
      </w:pPr>
      <w:r w:rsidRPr="00C21D52">
        <w:rPr>
          <w:i/>
        </w:rPr>
        <w:t xml:space="preserve">3 mia. &lt; 3,5 mia. </w:t>
      </w:r>
    </w:p>
    <w:p w14:paraId="29CA60BD" w14:textId="59FE7A37" w:rsidR="00C21D52" w:rsidRPr="00C21D52" w:rsidRDefault="00115089" w:rsidP="00C21D52">
      <w:pPr>
        <w:pStyle w:val="Brdtekst"/>
        <w:spacing w:line="288" w:lineRule="auto"/>
        <w:rPr>
          <w:i/>
        </w:rPr>
      </w:pPr>
      <w:r>
        <w:rPr>
          <w:i/>
        </w:rPr>
        <w:t>D</w:t>
      </w:r>
      <w:r w:rsidR="00C21D52" w:rsidRPr="00C21D52">
        <w:rPr>
          <w:i/>
        </w:rPr>
        <w:t>a åbne konverteringer i LCR er størst i denne periode, skal instituttet ikke tage et søjle II-likviditetstillæg.</w:t>
      </w:r>
    </w:p>
    <w:p w14:paraId="53EE095A" w14:textId="77777777" w:rsidR="00C21D52" w:rsidRDefault="00C21D52" w:rsidP="00C21D52">
      <w:pPr>
        <w:pStyle w:val="Brdtekst"/>
        <w:spacing w:line="288" w:lineRule="auto"/>
      </w:pPr>
    </w:p>
    <w:p w14:paraId="6DE9A19A" w14:textId="77777777" w:rsidR="00C21D52" w:rsidRDefault="00C21D52" w:rsidP="00C21D52">
      <w:pPr>
        <w:pStyle w:val="Overskrift2"/>
        <w:spacing w:before="0" w:after="0" w:line="288" w:lineRule="auto"/>
      </w:pPr>
      <w:r>
        <w:t>Søjle II-likviditetstillæg vedr. refinansiering</w:t>
      </w:r>
    </w:p>
    <w:p w14:paraId="36E97DF8" w14:textId="77777777" w:rsidR="00070650" w:rsidRDefault="00070650" w:rsidP="00C21D52">
      <w:pPr>
        <w:pStyle w:val="Brdtekst"/>
        <w:spacing w:line="288" w:lineRule="auto"/>
      </w:pPr>
      <w:r>
        <w:t>Søjle II-likviditetstillægget vedrørende refinansiering skal adressere en likviditetsrisiko for realkreditinst</w:t>
      </w:r>
      <w:r w:rsidR="00A23873">
        <w:t>ituttet forbundet med delvist fejlede refinansieringsauktioner, hvor instituttet i refinansieringsauktioner ikke kan afsætte det nødvendige omfang realkreditobligationer.</w:t>
      </w:r>
    </w:p>
    <w:p w14:paraId="369251A9" w14:textId="77777777" w:rsidR="00070650" w:rsidRDefault="00070650" w:rsidP="00C21D52">
      <w:pPr>
        <w:pStyle w:val="Brdtekst"/>
        <w:spacing w:line="288" w:lineRule="auto"/>
      </w:pPr>
    </w:p>
    <w:p w14:paraId="26538D93" w14:textId="0CF6EEEC" w:rsidR="00C21D52" w:rsidRDefault="00C21D52" w:rsidP="00C21D52">
      <w:pPr>
        <w:pStyle w:val="Brdtekst"/>
        <w:spacing w:line="288" w:lineRule="auto"/>
      </w:pPr>
      <w:r>
        <w:t xml:space="preserve">Søjle II-likviditetstillægget vedrørende refinansiering er </w:t>
      </w:r>
      <w:r w:rsidR="00FC2AA1">
        <w:t xml:space="preserve">helt konkret </w:t>
      </w:r>
      <w:r>
        <w:t xml:space="preserve">en standardiseret likviditetsstresstest for at håndtere refinansieringsrisici. Stresstesten er fremadskuende og ser på det budgetterede refinansieringsbehov for den næstkommende termin, dvs. der ses tre måneder frem. </w:t>
      </w:r>
    </w:p>
    <w:p w14:paraId="6E6AF753" w14:textId="77777777" w:rsidR="00C21D52" w:rsidRDefault="00C21D52" w:rsidP="00C21D52">
      <w:pPr>
        <w:pStyle w:val="Brdtekst"/>
        <w:spacing w:line="288" w:lineRule="auto"/>
      </w:pPr>
    </w:p>
    <w:p w14:paraId="189F0A77" w14:textId="57C89AE8" w:rsidR="00C21D52" w:rsidRDefault="00C21D52" w:rsidP="00C21D52">
      <w:pPr>
        <w:pStyle w:val="Brdtekst"/>
        <w:spacing w:line="288" w:lineRule="auto"/>
      </w:pPr>
      <w:r>
        <w:t>Realkreditinstitutterne skal som udgangspunkt antage, at de skal kunne opkøbe 30 pct. af deres egne obligationer ved den næstkommende termin (t+1) for at undgå, at auktionen fejler. Hvis realkreditinstituttet ikke har tilstrækkeligt med LCR definerede likvide aktiver til at kunne opkøbe 30 pct. af sine egne obligationer til næstkommende termin, så vil realkreditinstituttet skulle fastsætte et søjle II-likviditetstillæg til at dække forskellen.</w:t>
      </w:r>
    </w:p>
    <w:p w14:paraId="45EBA77F" w14:textId="64D68C07" w:rsidR="002E0ABE" w:rsidRDefault="002E0ABE" w:rsidP="00C21D52">
      <w:pPr>
        <w:pStyle w:val="Brdtekst"/>
        <w:spacing w:line="288" w:lineRule="auto"/>
      </w:pPr>
    </w:p>
    <w:p w14:paraId="15C6DF28" w14:textId="2F1E2DAA" w:rsidR="002E0ABE" w:rsidRPr="002E0ABE" w:rsidRDefault="002E0ABE" w:rsidP="00C21D52">
      <w:pPr>
        <w:pStyle w:val="Brdtekst"/>
        <w:spacing w:line="288" w:lineRule="auto"/>
      </w:pPr>
      <w:r>
        <w:t xml:space="preserve">Realkreditinstitutterne kan alene anvende LCR definerede likvide aktiver, som de anvender til at opfylde kravet om supplerende sikkerhed eller OC-kravet. Dvs. for at undgå et søjle II-likviditetstillæg for refinansiering skal et realkreditinstitut have </w:t>
      </w:r>
      <w:r w:rsidR="00100070">
        <w:t xml:space="preserve">nok </w:t>
      </w:r>
      <w:r>
        <w:t>LCR definerede likvide aktiver efter haircuts</w:t>
      </w:r>
      <w:r w:rsidR="00100070">
        <w:t xml:space="preserve"> til at kunne købe mindst 30 pct. af deres egne obligationer ved den næstkommende termin</w:t>
      </w:r>
      <w:r>
        <w:t xml:space="preserve">, </w:t>
      </w:r>
      <w:r w:rsidR="00100070">
        <w:t>hvor disse LCR definerede likvide aktiver i forvejen anvendes</w:t>
      </w:r>
      <w:r w:rsidRPr="002E0ABE">
        <w:t xml:space="preserve"> til </w:t>
      </w:r>
      <w:r>
        <w:t>at opfylde kravet om</w:t>
      </w:r>
      <w:r w:rsidR="00100070">
        <w:t xml:space="preserve"> supplerende sikkerhed</w:t>
      </w:r>
      <w:r w:rsidRPr="002E0ABE">
        <w:t xml:space="preserve"> eller OC-kravet</w:t>
      </w:r>
      <w:r>
        <w:t xml:space="preserve">. </w:t>
      </w:r>
    </w:p>
    <w:p w14:paraId="6C7B2528" w14:textId="75171C1D" w:rsidR="002E0ABE" w:rsidRDefault="002E0ABE" w:rsidP="00C21D52">
      <w:pPr>
        <w:pStyle w:val="Brdtekst"/>
        <w:spacing w:line="288" w:lineRule="auto"/>
      </w:pPr>
    </w:p>
    <w:p w14:paraId="129E7096" w14:textId="77777777" w:rsidR="002E0ABE" w:rsidRDefault="002E0ABE" w:rsidP="00C21D52">
      <w:pPr>
        <w:pStyle w:val="Brdtekst"/>
        <w:spacing w:line="288" w:lineRule="auto"/>
      </w:pPr>
    </w:p>
    <w:p w14:paraId="28612C82" w14:textId="77777777" w:rsidR="00C21D52" w:rsidRDefault="00C21D52" w:rsidP="00C21D52">
      <w:pPr>
        <w:pStyle w:val="Brdtekst"/>
        <w:spacing w:line="288" w:lineRule="auto"/>
      </w:pPr>
    </w:p>
    <w:p w14:paraId="32F53053" w14:textId="77777777" w:rsidR="00C21D52" w:rsidRPr="00C21D52" w:rsidRDefault="00C21D52" w:rsidP="00C21D52">
      <w:pPr>
        <w:pStyle w:val="Brdtekst"/>
        <w:spacing w:line="288" w:lineRule="auto"/>
        <w:rPr>
          <w:i/>
        </w:rPr>
      </w:pPr>
      <w:r w:rsidRPr="00C21D52">
        <w:rPr>
          <w:i/>
        </w:rPr>
        <w:t>Metode:</w:t>
      </w:r>
    </w:p>
    <w:p w14:paraId="034BA35E" w14:textId="77777777" w:rsidR="00C21D52" w:rsidRPr="00C21D52" w:rsidRDefault="00C21D52" w:rsidP="00C21D52">
      <w:pPr>
        <w:pStyle w:val="Brdtekst"/>
        <w:spacing w:line="288" w:lineRule="auto"/>
        <w:rPr>
          <w:i/>
        </w:rPr>
      </w:pPr>
      <w:r w:rsidRPr="00C21D52">
        <w:rPr>
          <w:i/>
        </w:rPr>
        <w:t>[30 pct. af den mængde realkreditinstituttet skal refinansiere ved den næstkommende termin]</w:t>
      </w:r>
    </w:p>
    <w:p w14:paraId="07C6FE01" w14:textId="022513B4" w:rsidR="00C21D52" w:rsidRPr="00C21D52" w:rsidRDefault="00C21D52" w:rsidP="00C21D52">
      <w:pPr>
        <w:pStyle w:val="Brdtekst"/>
        <w:spacing w:line="288" w:lineRule="auto"/>
        <w:rPr>
          <w:i/>
        </w:rPr>
      </w:pPr>
      <w:r w:rsidRPr="00C21D52">
        <w:rPr>
          <w:i/>
        </w:rPr>
        <w:t xml:space="preserve">– [LCR definerede </w:t>
      </w:r>
      <w:bookmarkStart w:id="7" w:name="_GoBack"/>
      <w:r w:rsidRPr="00C21D52">
        <w:rPr>
          <w:i/>
        </w:rPr>
        <w:t>likvide aktiver</w:t>
      </w:r>
      <w:r w:rsidR="002E0ABE">
        <w:rPr>
          <w:i/>
        </w:rPr>
        <w:t xml:space="preserve"> efter haircuts</w:t>
      </w:r>
      <w:r w:rsidRPr="00C21D52">
        <w:rPr>
          <w:i/>
        </w:rPr>
        <w:t xml:space="preserve">, der </w:t>
      </w:r>
      <w:bookmarkEnd w:id="7"/>
      <w:r w:rsidRPr="00C21D52">
        <w:rPr>
          <w:i/>
        </w:rPr>
        <w:t>anvendes til opfyldelse af supplerende sikkerhedskravet eller OC-kravet]</w:t>
      </w:r>
    </w:p>
    <w:p w14:paraId="272C2B9B" w14:textId="77777777" w:rsidR="00FC2AA1" w:rsidRDefault="00C21D52" w:rsidP="00C21D52">
      <w:pPr>
        <w:pStyle w:val="Brdtekst"/>
        <w:spacing w:line="288" w:lineRule="auto"/>
        <w:rPr>
          <w:i/>
        </w:rPr>
      </w:pPr>
      <w:r w:rsidRPr="00C21D52">
        <w:rPr>
          <w:i/>
        </w:rPr>
        <w:t xml:space="preserve">= Z </w:t>
      </w:r>
    </w:p>
    <w:p w14:paraId="780B3053" w14:textId="497BA315" w:rsidR="00C21D52" w:rsidRPr="00C21D52" w:rsidRDefault="00FC2AA1" w:rsidP="00C21D52">
      <w:pPr>
        <w:pStyle w:val="Brdtekst"/>
        <w:spacing w:line="288" w:lineRule="auto"/>
        <w:rPr>
          <w:i/>
        </w:rPr>
      </w:pPr>
      <w:r>
        <w:rPr>
          <w:i/>
        </w:rPr>
        <w:t>h</w:t>
      </w:r>
      <w:r w:rsidR="00C21D52" w:rsidRPr="00C21D52">
        <w:rPr>
          <w:i/>
        </w:rPr>
        <w:t>vis Z er et positiv beløb, tages et søjle II-likviditetstillæg</w:t>
      </w:r>
    </w:p>
    <w:p w14:paraId="6049C751" w14:textId="77777777" w:rsidR="00C21D52" w:rsidRPr="00C21D52" w:rsidRDefault="00C21D52" w:rsidP="00C21D52">
      <w:pPr>
        <w:pStyle w:val="Brdtekst"/>
        <w:spacing w:line="288" w:lineRule="auto"/>
        <w:rPr>
          <w:i/>
        </w:rPr>
      </w:pPr>
    </w:p>
    <w:p w14:paraId="097063FE" w14:textId="77777777" w:rsidR="00C21D52" w:rsidRPr="00C21D52" w:rsidRDefault="00C21D52" w:rsidP="00C21D52">
      <w:pPr>
        <w:pStyle w:val="Brdtekst"/>
        <w:spacing w:line="288" w:lineRule="auto"/>
        <w:rPr>
          <w:i/>
        </w:rPr>
      </w:pPr>
      <w:r w:rsidRPr="00C21D52">
        <w:rPr>
          <w:i/>
        </w:rPr>
        <w:t xml:space="preserve">Eksempel – 30 dage før termin: </w:t>
      </w:r>
    </w:p>
    <w:p w14:paraId="37B8BA86" w14:textId="77777777" w:rsidR="00C21D52" w:rsidRPr="00C21D52" w:rsidRDefault="00C21D52" w:rsidP="00C21D52">
      <w:pPr>
        <w:pStyle w:val="Brdtekst"/>
        <w:spacing w:line="288" w:lineRule="auto"/>
        <w:rPr>
          <w:i/>
        </w:rPr>
      </w:pPr>
      <w:r w:rsidRPr="00C21D52">
        <w:rPr>
          <w:i/>
        </w:rPr>
        <w:t xml:space="preserve">30 mia. </w:t>
      </w:r>
    </w:p>
    <w:p w14:paraId="44D889CF" w14:textId="77777777" w:rsidR="00C21D52" w:rsidRPr="00C21D52" w:rsidRDefault="00C21D52" w:rsidP="00C21D52">
      <w:pPr>
        <w:pStyle w:val="Brdtekst"/>
        <w:spacing w:line="288" w:lineRule="auto"/>
        <w:rPr>
          <w:i/>
        </w:rPr>
      </w:pPr>
      <w:r w:rsidRPr="00C21D52">
        <w:rPr>
          <w:i/>
        </w:rPr>
        <w:t xml:space="preserve">– 25 mia. </w:t>
      </w:r>
    </w:p>
    <w:p w14:paraId="6B4EA50B" w14:textId="77777777" w:rsidR="00FC2AA1" w:rsidRDefault="00C21D52" w:rsidP="00C21D52">
      <w:pPr>
        <w:pStyle w:val="Brdtekst"/>
        <w:spacing w:line="288" w:lineRule="auto"/>
        <w:rPr>
          <w:i/>
        </w:rPr>
      </w:pPr>
      <w:r w:rsidRPr="00C21D52">
        <w:rPr>
          <w:i/>
        </w:rPr>
        <w:t xml:space="preserve">= 5 mia. &gt; 0 </w:t>
      </w:r>
    </w:p>
    <w:p w14:paraId="422BAFF4" w14:textId="260D67AA" w:rsidR="00C21D52" w:rsidRPr="00C21D52" w:rsidRDefault="00C21D52" w:rsidP="00C21D52">
      <w:pPr>
        <w:pStyle w:val="Brdtekst"/>
        <w:spacing w:line="288" w:lineRule="auto"/>
        <w:rPr>
          <w:i/>
        </w:rPr>
      </w:pPr>
      <w:r w:rsidRPr="00C21D52">
        <w:rPr>
          <w:i/>
        </w:rPr>
        <w:t>5 mia. er søjle II-likviditetstillæg</w:t>
      </w:r>
    </w:p>
    <w:p w14:paraId="2109F0BE" w14:textId="77777777" w:rsidR="00C21D52" w:rsidRDefault="00C21D52" w:rsidP="00C21D52">
      <w:pPr>
        <w:pStyle w:val="Brdtekst"/>
        <w:spacing w:line="288" w:lineRule="auto"/>
      </w:pPr>
    </w:p>
    <w:p w14:paraId="15657F58" w14:textId="77777777" w:rsidR="00C21D52" w:rsidRPr="00C21D52" w:rsidRDefault="00C21D52" w:rsidP="00C21D52">
      <w:pPr>
        <w:pStyle w:val="Brdtekst"/>
        <w:spacing w:line="288" w:lineRule="auto"/>
        <w:rPr>
          <w:i/>
        </w:rPr>
      </w:pPr>
      <w:r w:rsidRPr="00C21D52">
        <w:rPr>
          <w:i/>
        </w:rPr>
        <w:t>Næstkommende termin</w:t>
      </w:r>
    </w:p>
    <w:p w14:paraId="71D31008" w14:textId="77777777" w:rsidR="00C21D52" w:rsidRDefault="00C21D52" w:rsidP="00C21D52">
      <w:pPr>
        <w:pStyle w:val="Brdtekst"/>
        <w:spacing w:line="288" w:lineRule="auto"/>
      </w:pPr>
      <w:r>
        <w:t xml:space="preserve">Både søjle II-likviditetstillægget for hhv. restancer og refinansiering ser på næstkommende termin. De fleste måneder er næstkommende termin forskellige ift. de to tillæg, da refinansieringstillægget følger refinansieringsauktionerne, mens restancer følger kalenderterminerne. </w:t>
      </w:r>
    </w:p>
    <w:p w14:paraId="491B0488" w14:textId="77777777" w:rsidR="00C21D52" w:rsidRDefault="00C21D52" w:rsidP="00C21D52">
      <w:pPr>
        <w:pStyle w:val="Brdtekst"/>
        <w:spacing w:line="288" w:lineRule="auto"/>
      </w:pPr>
    </w:p>
    <w:p w14:paraId="2C89B88A" w14:textId="77777777" w:rsidR="00C21D52" w:rsidRPr="00C21D52" w:rsidRDefault="00C21D52" w:rsidP="00C21D52">
      <w:pPr>
        <w:pStyle w:val="Brdtekst"/>
        <w:spacing w:line="288" w:lineRule="auto"/>
        <w:rPr>
          <w:i/>
        </w:rPr>
      </w:pPr>
      <w:r w:rsidRPr="00C21D52">
        <w:rPr>
          <w:i/>
        </w:rPr>
        <w:t>Indberetning</w:t>
      </w:r>
    </w:p>
    <w:p w14:paraId="3A794586" w14:textId="77777777" w:rsidR="00C21D52" w:rsidRDefault="00C21D52" w:rsidP="00C21D52">
      <w:pPr>
        <w:pStyle w:val="Brdtekst"/>
        <w:spacing w:line="288" w:lineRule="auto"/>
      </w:pPr>
      <w:r>
        <w:t>Søjle II-likviditetstillæggene skal indberettes. Denne indberetning vil ske med udgangspunkt i ”Vejledning til udfyldelse af indberetningsskemaer for søjle II-likviditetstillæg for alle realkreditinstitutter (KSLS)” fra Finanstilsynet, som er blevet offentliggjort den 27. september 2019 med efterfølgende ændringer.</w:t>
      </w:r>
    </w:p>
    <w:p w14:paraId="596CF2C8" w14:textId="77777777" w:rsidR="00C21D52" w:rsidRDefault="00C21D52" w:rsidP="00C21D52">
      <w:pPr>
        <w:pStyle w:val="Brdtekst"/>
        <w:spacing w:line="288" w:lineRule="auto"/>
      </w:pPr>
    </w:p>
    <w:p w14:paraId="43AAB8F9" w14:textId="77777777" w:rsidR="00163A8D" w:rsidRDefault="00163A8D" w:rsidP="00C21D52">
      <w:pPr>
        <w:pStyle w:val="Brdtekst"/>
        <w:spacing w:line="288" w:lineRule="auto"/>
      </w:pPr>
    </w:p>
    <w:p w14:paraId="07870BE4" w14:textId="77777777" w:rsidR="00163A8D" w:rsidRDefault="00163A8D" w:rsidP="00C21D52">
      <w:pPr>
        <w:pStyle w:val="Brdtekst"/>
        <w:spacing w:line="288" w:lineRule="auto"/>
      </w:pPr>
    </w:p>
    <w:p w14:paraId="62DFDEBA" w14:textId="77777777" w:rsidR="00331EDD" w:rsidRDefault="00331EDD" w:rsidP="00C21D52">
      <w:pPr>
        <w:pStyle w:val="Brdtekst"/>
        <w:spacing w:line="288" w:lineRule="auto"/>
      </w:pPr>
    </w:p>
    <w:sectPr w:rsidR="00331EDD" w:rsidSect="002779D0">
      <w:headerReference w:type="default" r:id="rId8"/>
      <w:headerReference w:type="first" r:id="rId9"/>
      <w:pgSz w:w="11906" w:h="16838" w:code="9"/>
      <w:pgMar w:top="2325" w:right="3686" w:bottom="1418" w:left="1106" w:header="624" w:footer="567" w:gutter="0"/>
      <w:paperSrc w:first="11" w:other="1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1F2656" w14:textId="77777777" w:rsidR="008B3E7A" w:rsidRDefault="008B3E7A">
      <w:pPr>
        <w:spacing w:line="240" w:lineRule="auto"/>
      </w:pPr>
      <w:r>
        <w:separator/>
      </w:r>
    </w:p>
  </w:endnote>
  <w:endnote w:type="continuationSeparator" w:id="0">
    <w:p w14:paraId="64D8A5E4" w14:textId="77777777" w:rsidR="008B3E7A" w:rsidRDefault="008B3E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1A29AE" w14:textId="77777777" w:rsidR="008B3E7A" w:rsidRDefault="008B3E7A">
      <w:pPr>
        <w:spacing w:line="240" w:lineRule="auto"/>
      </w:pPr>
      <w:r>
        <w:separator/>
      </w:r>
    </w:p>
  </w:footnote>
  <w:footnote w:type="continuationSeparator" w:id="0">
    <w:p w14:paraId="59E29D65" w14:textId="77777777" w:rsidR="008B3E7A" w:rsidRDefault="008B3E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A7ECD" w14:textId="51AA8848" w:rsidR="00163A8D" w:rsidRDefault="00C12726">
    <w:pPr>
      <w:framePr w:w="1531" w:h="851" w:wrap="around" w:vAnchor="page" w:hAnchor="page" w:x="9186" w:y="721"/>
    </w:pPr>
    <w:r>
      <w:rPr>
        <w:rStyle w:val="Sidetal"/>
      </w:rPr>
      <w:fldChar w:fldCharType="begin"/>
    </w:r>
    <w:r w:rsidR="00163A8D">
      <w:rPr>
        <w:rStyle w:val="Sidetal"/>
      </w:rPr>
      <w:instrText xml:space="preserve"> PAGE </w:instrText>
    </w:r>
    <w:r>
      <w:rPr>
        <w:rStyle w:val="Sidetal"/>
      </w:rPr>
      <w:fldChar w:fldCharType="separate"/>
    </w:r>
    <w:r w:rsidR="00FB71DC">
      <w:rPr>
        <w:rStyle w:val="Sidetal"/>
        <w:noProof/>
      </w:rPr>
      <w:t>4</w:t>
    </w:r>
    <w:r>
      <w:rPr>
        <w:rStyle w:val="Sidetal"/>
      </w:rPr>
      <w:fldChar w:fldCharType="end"/>
    </w:r>
    <w:r w:rsidR="00163A8D">
      <w:rPr>
        <w:rStyle w:val="Sidetal"/>
      </w:rPr>
      <w:t>/</w:t>
    </w:r>
    <w:r>
      <w:rPr>
        <w:rStyle w:val="Sidetal"/>
      </w:rPr>
      <w:fldChar w:fldCharType="begin"/>
    </w:r>
    <w:r w:rsidR="00163A8D">
      <w:rPr>
        <w:rStyle w:val="Sidetal"/>
      </w:rPr>
      <w:instrText xml:space="preserve"> NUMPAGES </w:instrText>
    </w:r>
    <w:r>
      <w:rPr>
        <w:rStyle w:val="Sidetal"/>
      </w:rPr>
      <w:fldChar w:fldCharType="separate"/>
    </w:r>
    <w:r w:rsidR="00FB71DC">
      <w:rPr>
        <w:rStyle w:val="Sidetal"/>
        <w:noProof/>
      </w:rPr>
      <w:t>4</w:t>
    </w:r>
    <w:r>
      <w:rPr>
        <w:rStyle w:val="Sidetal"/>
      </w:rPr>
      <w:fldChar w:fldCharType="end"/>
    </w:r>
  </w:p>
  <w:p w14:paraId="257F480E" w14:textId="77777777" w:rsidR="00163A8D" w:rsidRDefault="00163A8D">
    <w:pPr>
      <w:framePr w:w="1531" w:h="851" w:wrap="around" w:vAnchor="page" w:hAnchor="page" w:x="9186" w:y="721"/>
    </w:pPr>
  </w:p>
  <w:p w14:paraId="1EFC02CD" w14:textId="77777777" w:rsidR="00163A8D" w:rsidRDefault="00163A8D">
    <w:pPr>
      <w:framePr w:w="1531" w:h="851" w:wrap="around" w:vAnchor="page" w:hAnchor="page" w:x="9186" w:y="721"/>
    </w:pPr>
  </w:p>
  <w:p w14:paraId="4504316A" w14:textId="77777777" w:rsidR="00163A8D" w:rsidRDefault="00163A8D">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D08F1" w14:textId="77777777" w:rsidR="00163A8D" w:rsidRDefault="00CD5C1F">
    <w:pPr>
      <w:pStyle w:val="Sidehoved"/>
    </w:pPr>
    <w:r>
      <w:rPr>
        <w:noProof/>
      </w:rPr>
      <w:drawing>
        <wp:anchor distT="0" distB="0" distL="114300" distR="114300" simplePos="0" relativeHeight="251658752" behindDoc="0" locked="0" layoutInCell="1" allowOverlap="1" wp14:anchorId="0BDBA094" wp14:editId="03AC0152">
          <wp:simplePos x="0" y="0"/>
          <wp:positionH relativeFrom="page">
            <wp:posOffset>2952750</wp:posOffset>
          </wp:positionH>
          <wp:positionV relativeFrom="page">
            <wp:posOffset>142875</wp:posOffset>
          </wp:positionV>
          <wp:extent cx="1600200" cy="504825"/>
          <wp:effectExtent l="19050" t="0" r="0" b="0"/>
          <wp:wrapSquare wrapText="bothSides"/>
          <wp:docPr id="1" name="Billede 0" descr="finans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ns_rgb.jpg"/>
                  <pic:cNvPicPr/>
                </pic:nvPicPr>
                <pic:blipFill>
                  <a:blip r:embed="rId1"/>
                  <a:stretch>
                    <a:fillRect/>
                  </a:stretch>
                </pic:blipFill>
                <pic:spPr>
                  <a:xfrm>
                    <a:off x="0" y="0"/>
                    <a:ext cx="1600200" cy="504825"/>
                  </a:xfrm>
                  <a:prstGeom prst="rect">
                    <a:avLst/>
                  </a:prstGeom>
                </pic:spPr>
              </pic:pic>
            </a:graphicData>
          </a:graphic>
        </wp:anchor>
      </w:drawing>
    </w:r>
    <w:r w:rsidR="003E4349">
      <w:rPr>
        <w:noProof/>
      </w:rPr>
      <w:drawing>
        <wp:anchor distT="0" distB="0" distL="114300" distR="114300" simplePos="0" relativeHeight="251657728" behindDoc="0" locked="1" layoutInCell="0" allowOverlap="1" wp14:anchorId="78BB5910" wp14:editId="4654B672">
          <wp:simplePos x="0" y="0"/>
          <wp:positionH relativeFrom="margin">
            <wp:posOffset>-9525</wp:posOffset>
          </wp:positionH>
          <wp:positionV relativeFrom="page">
            <wp:posOffset>1503045</wp:posOffset>
          </wp:positionV>
          <wp:extent cx="638175" cy="114300"/>
          <wp:effectExtent l="19050" t="0" r="9525" b="0"/>
          <wp:wrapTopAndBottom/>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srcRect/>
                  <a:stretch>
                    <a:fillRect/>
                  </a:stretch>
                </pic:blipFill>
                <pic:spPr bwMode="auto">
                  <a:xfrm>
                    <a:off x="0" y="0"/>
                    <a:ext cx="638175" cy="1143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56C9E"/>
    <w:multiLevelType w:val="multilevel"/>
    <w:tmpl w:val="B4443E96"/>
    <w:lvl w:ilvl="0">
      <w:start w:val="1"/>
      <w:numFmt w:val="decimal"/>
      <w:pStyle w:val="Underoverskrift"/>
      <w:lvlText w:val="%1."/>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A3C7D2F"/>
    <w:multiLevelType w:val="hybridMultilevel"/>
    <w:tmpl w:val="7B14156E"/>
    <w:lvl w:ilvl="0" w:tplc="91284876">
      <w:start w:val="1"/>
      <w:numFmt w:val="bullet"/>
      <w:pStyle w:val="Listeafsnit"/>
      <w:lvlText w:val=""/>
      <w:lvlJc w:val="left"/>
      <w:pPr>
        <w:ind w:left="1440" w:hanging="360"/>
      </w:pPr>
      <w:rPr>
        <w:rFonts w:ascii="Symbol" w:hAnsi="Symbol" w:hint="default"/>
        <w:color w:val="990000"/>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 w15:restartNumberingAfterBreak="0">
    <w:nsid w:val="2E2C0E20"/>
    <w:multiLevelType w:val="hybridMultilevel"/>
    <w:tmpl w:val="DE68F320"/>
    <w:lvl w:ilvl="0" w:tplc="A1ACD74E">
      <w:start w:val="1"/>
      <w:numFmt w:val="lowerLetter"/>
      <w:pStyle w:val="ListeBogstaver"/>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3" w15:restartNumberingAfterBreak="0">
    <w:nsid w:val="4B287A84"/>
    <w:multiLevelType w:val="hybridMultilevel"/>
    <w:tmpl w:val="BBB49F4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4" w15:restartNumberingAfterBreak="0">
    <w:nsid w:val="53E53794"/>
    <w:multiLevelType w:val="hybridMultilevel"/>
    <w:tmpl w:val="308E1D24"/>
    <w:lvl w:ilvl="0" w:tplc="3E0CC88A">
      <w:start w:val="1"/>
      <w:numFmt w:val="decimal"/>
      <w:pStyle w:val="ListeTal"/>
      <w:lvlText w:val="%1."/>
      <w:lvlJc w:val="left"/>
      <w:pPr>
        <w:ind w:left="1440" w:hanging="360"/>
      </w:pPr>
      <w:rPr>
        <w:rFonts w:hint="default"/>
        <w:color w:val="000000" w:themeColor="text1"/>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5" w15:restartNumberingAfterBreak="0">
    <w:nsid w:val="57842BAA"/>
    <w:multiLevelType w:val="singleLevel"/>
    <w:tmpl w:val="F70055E2"/>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304"/>
  <w:autoHyphenation/>
  <w:hyphenationZone w:val="142"/>
  <w:doNotHyphenateCaps/>
  <w:drawingGridHorizontalSpacing w:val="120"/>
  <w:drawingGridVerticalSpacing w:val="163"/>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 w:name="Initialer" w:val="Empty"/>
    <w:docVar w:name="Kontor" w:val="Empty"/>
    <w:docVar w:name="PCAdato" w:val="Empty"/>
    <w:docVar w:name="PCAmodtager" w:val="Empty"/>
    <w:docVar w:name="PCAoverskrift" w:val="Empty"/>
    <w:docVar w:name="PCASag" w:val="Empty"/>
    <w:docVar w:name="PCAStart" w:val="Empty"/>
  </w:docVars>
  <w:rsids>
    <w:rsidRoot w:val="003F584C"/>
    <w:rsid w:val="0002744C"/>
    <w:rsid w:val="00070650"/>
    <w:rsid w:val="000A3975"/>
    <w:rsid w:val="000C0183"/>
    <w:rsid w:val="000C13A3"/>
    <w:rsid w:val="000E4F71"/>
    <w:rsid w:val="000E5690"/>
    <w:rsid w:val="00100070"/>
    <w:rsid w:val="00115089"/>
    <w:rsid w:val="00120388"/>
    <w:rsid w:val="00163A8D"/>
    <w:rsid w:val="001E4A6B"/>
    <w:rsid w:val="00221412"/>
    <w:rsid w:val="00230D73"/>
    <w:rsid w:val="00260676"/>
    <w:rsid w:val="002779D0"/>
    <w:rsid w:val="002A499B"/>
    <w:rsid w:val="002E0ABE"/>
    <w:rsid w:val="002E6F9A"/>
    <w:rsid w:val="002F13A8"/>
    <w:rsid w:val="00305117"/>
    <w:rsid w:val="00331EDD"/>
    <w:rsid w:val="003E3B9B"/>
    <w:rsid w:val="003E4349"/>
    <w:rsid w:val="003F584C"/>
    <w:rsid w:val="0040457E"/>
    <w:rsid w:val="0044286B"/>
    <w:rsid w:val="004B093D"/>
    <w:rsid w:val="00537620"/>
    <w:rsid w:val="005439BC"/>
    <w:rsid w:val="00586C74"/>
    <w:rsid w:val="005F1148"/>
    <w:rsid w:val="0063728A"/>
    <w:rsid w:val="006724DD"/>
    <w:rsid w:val="006C3314"/>
    <w:rsid w:val="006C7261"/>
    <w:rsid w:val="006F510B"/>
    <w:rsid w:val="00700253"/>
    <w:rsid w:val="00703E18"/>
    <w:rsid w:val="007E5F37"/>
    <w:rsid w:val="008B3E7A"/>
    <w:rsid w:val="00904F2B"/>
    <w:rsid w:val="00907B69"/>
    <w:rsid w:val="00911391"/>
    <w:rsid w:val="009C70F7"/>
    <w:rsid w:val="009F65A4"/>
    <w:rsid w:val="00A23873"/>
    <w:rsid w:val="00A30B33"/>
    <w:rsid w:val="00AA185B"/>
    <w:rsid w:val="00AF740E"/>
    <w:rsid w:val="00B23B9D"/>
    <w:rsid w:val="00B57A46"/>
    <w:rsid w:val="00BA2345"/>
    <w:rsid w:val="00BF501F"/>
    <w:rsid w:val="00C12726"/>
    <w:rsid w:val="00C21D52"/>
    <w:rsid w:val="00C5147E"/>
    <w:rsid w:val="00C5465E"/>
    <w:rsid w:val="00CD5C1F"/>
    <w:rsid w:val="00CF4780"/>
    <w:rsid w:val="00DB1666"/>
    <w:rsid w:val="00E2456A"/>
    <w:rsid w:val="00E34E1B"/>
    <w:rsid w:val="00E44B59"/>
    <w:rsid w:val="00EC3FFA"/>
    <w:rsid w:val="00F924F2"/>
    <w:rsid w:val="00FB71DC"/>
    <w:rsid w:val="00FC2AA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1A7DB6C"/>
  <w15:docId w15:val="{120A0DD8-89A7-46AF-82F5-F3FB48D4D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56A"/>
    <w:pPr>
      <w:spacing w:line="280" w:lineRule="exact"/>
      <w:jc w:val="both"/>
    </w:pPr>
    <w:rPr>
      <w:rFonts w:ascii="Arial" w:hAnsi="Arial"/>
      <w:sz w:val="21"/>
    </w:rPr>
  </w:style>
  <w:style w:type="paragraph" w:styleId="Overskrift1">
    <w:name w:val="heading 1"/>
    <w:basedOn w:val="Normal"/>
    <w:next w:val="Brdtekst"/>
    <w:qFormat/>
    <w:rsid w:val="00907B69"/>
    <w:pPr>
      <w:keepNext/>
      <w:spacing w:line="480" w:lineRule="exact"/>
      <w:outlineLvl w:val="0"/>
    </w:pPr>
    <w:rPr>
      <w:rFonts w:ascii="Constantia" w:hAnsi="Constantia"/>
      <w:b/>
      <w:color w:val="990000"/>
      <w:sz w:val="32"/>
    </w:rPr>
  </w:style>
  <w:style w:type="paragraph" w:styleId="Overskrift2">
    <w:name w:val="heading 2"/>
    <w:basedOn w:val="Normal"/>
    <w:next w:val="Normal"/>
    <w:link w:val="Overskrift2Tegn"/>
    <w:qFormat/>
    <w:rsid w:val="00586C74"/>
    <w:pPr>
      <w:keepNext/>
      <w:keepLines/>
      <w:spacing w:before="280" w:after="140"/>
      <w:outlineLvl w:val="1"/>
    </w:pPr>
    <w:rPr>
      <w:rFonts w:ascii="Constantia" w:eastAsiaTheme="majorEastAsia" w:hAnsi="Constantia" w:cstheme="majorBidi"/>
      <w:b/>
      <w:bCs/>
      <w:color w:val="000000" w:themeColor="text1"/>
      <w:sz w:val="22"/>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skakt">
    <w:name w:val="skakt"/>
    <w:basedOn w:val="Normal"/>
    <w:rsid w:val="00E44B59"/>
    <w:pPr>
      <w:framePr w:w="2268" w:h="7370" w:hSpace="141" w:wrap="around" w:hAnchor="page" w:x="9270" w:anchorLock="1"/>
    </w:pPr>
    <w:rPr>
      <w:sz w:val="15"/>
    </w:rPr>
  </w:style>
  <w:style w:type="paragraph" w:customStyle="1" w:styleId="diverse">
    <w:name w:val="diverse"/>
    <w:basedOn w:val="Normal"/>
    <w:rsid w:val="00E44B59"/>
    <w:rPr>
      <w:sz w:val="18"/>
    </w:rPr>
  </w:style>
  <w:style w:type="character" w:styleId="Sidetal">
    <w:name w:val="page number"/>
    <w:basedOn w:val="Standardskrifttypeiafsnit"/>
    <w:rsid w:val="00E44B59"/>
  </w:style>
  <w:style w:type="paragraph" w:customStyle="1" w:styleId="datomv">
    <w:name w:val="datomv"/>
    <w:basedOn w:val="skakt"/>
    <w:rsid w:val="00E44B59"/>
    <w:pPr>
      <w:framePr w:w="0" w:hRule="auto" w:hSpace="142" w:wrap="around" w:vAnchor="text" w:hAnchor="text" w:x="9073" w:y="1"/>
    </w:pPr>
    <w:rPr>
      <w:rFonts w:ascii="Times New Roman" w:hAnsi="Times New Roman"/>
      <w:sz w:val="24"/>
    </w:rPr>
  </w:style>
  <w:style w:type="paragraph" w:styleId="Sidehoved">
    <w:name w:val="header"/>
    <w:basedOn w:val="Normal"/>
    <w:rsid w:val="00E44B59"/>
    <w:pPr>
      <w:tabs>
        <w:tab w:val="center" w:pos="4819"/>
        <w:tab w:val="right" w:pos="9638"/>
      </w:tabs>
    </w:pPr>
  </w:style>
  <w:style w:type="paragraph" w:customStyle="1" w:styleId="modt">
    <w:name w:val="modt"/>
    <w:basedOn w:val="Normal"/>
    <w:rsid w:val="00E44B59"/>
  </w:style>
  <w:style w:type="paragraph" w:styleId="Sidefod">
    <w:name w:val="footer"/>
    <w:basedOn w:val="Normal"/>
    <w:rsid w:val="00331EDD"/>
    <w:pPr>
      <w:tabs>
        <w:tab w:val="center" w:pos="4819"/>
        <w:tab w:val="right" w:pos="9638"/>
      </w:tabs>
      <w:spacing w:line="240" w:lineRule="auto"/>
    </w:pPr>
    <w:rPr>
      <w:sz w:val="16"/>
    </w:rPr>
  </w:style>
  <w:style w:type="paragraph" w:customStyle="1" w:styleId="Enhed">
    <w:name w:val="Enhed"/>
    <w:basedOn w:val="Normal"/>
    <w:rsid w:val="00E44B59"/>
    <w:pPr>
      <w:framePr w:h="454" w:hRule="exact" w:wrap="around" w:vAnchor="page" w:hAnchor="page" w:x="9186" w:y="1702"/>
    </w:pPr>
    <w:rPr>
      <w:b/>
      <w:caps/>
      <w:sz w:val="15"/>
    </w:rPr>
  </w:style>
  <w:style w:type="paragraph" w:styleId="Brdtekst">
    <w:name w:val="Body Text"/>
    <w:basedOn w:val="Normal"/>
    <w:link w:val="BrdtekstTegn"/>
    <w:rsid w:val="00CF4780"/>
  </w:style>
  <w:style w:type="paragraph" w:styleId="Markeringsbobletekst">
    <w:name w:val="Balloon Text"/>
    <w:basedOn w:val="Normal"/>
    <w:link w:val="MarkeringsbobletekstTegn"/>
    <w:uiPriority w:val="99"/>
    <w:semiHidden/>
    <w:unhideWhenUsed/>
    <w:rsid w:val="00CD5C1F"/>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D5C1F"/>
    <w:rPr>
      <w:rFonts w:ascii="Tahoma" w:hAnsi="Tahoma" w:cs="Tahoma"/>
      <w:sz w:val="16"/>
      <w:szCs w:val="16"/>
    </w:rPr>
  </w:style>
  <w:style w:type="character" w:customStyle="1" w:styleId="Overskrift2Tegn">
    <w:name w:val="Overskrift 2 Tegn"/>
    <w:basedOn w:val="Standardskrifttypeiafsnit"/>
    <w:link w:val="Overskrift2"/>
    <w:rsid w:val="00586C74"/>
    <w:rPr>
      <w:rFonts w:ascii="Constantia" w:eastAsiaTheme="majorEastAsia" w:hAnsi="Constantia" w:cstheme="majorBidi"/>
      <w:b/>
      <w:bCs/>
      <w:color w:val="000000" w:themeColor="text1"/>
      <w:sz w:val="22"/>
      <w:szCs w:val="26"/>
    </w:rPr>
  </w:style>
  <w:style w:type="paragraph" w:styleId="Listeafsnit">
    <w:name w:val="List Paragraph"/>
    <w:basedOn w:val="Normal"/>
    <w:uiPriority w:val="1"/>
    <w:qFormat/>
    <w:rsid w:val="00586C74"/>
    <w:pPr>
      <w:numPr>
        <w:numId w:val="3"/>
      </w:numPr>
      <w:ind w:left="426" w:hanging="426"/>
      <w:contextualSpacing/>
    </w:pPr>
  </w:style>
  <w:style w:type="paragraph" w:customStyle="1" w:styleId="Underoverskrift">
    <w:name w:val="Underoverskrift"/>
    <w:basedOn w:val="Overskrift2"/>
    <w:next w:val="Normal"/>
    <w:qFormat/>
    <w:rsid w:val="00586C74"/>
    <w:pPr>
      <w:numPr>
        <w:numId w:val="6"/>
      </w:numPr>
    </w:pPr>
  </w:style>
  <w:style w:type="paragraph" w:customStyle="1" w:styleId="ListeTal">
    <w:name w:val="ListeTal"/>
    <w:basedOn w:val="Listeafsnit"/>
    <w:uiPriority w:val="1"/>
    <w:qFormat/>
    <w:rsid w:val="00586C74"/>
    <w:pPr>
      <w:numPr>
        <w:numId w:val="5"/>
      </w:numPr>
      <w:ind w:left="426" w:hanging="426"/>
    </w:pPr>
  </w:style>
  <w:style w:type="paragraph" w:customStyle="1" w:styleId="ListeBogstaver">
    <w:name w:val="ListeBogstaver"/>
    <w:basedOn w:val="Listeafsnit"/>
    <w:uiPriority w:val="1"/>
    <w:qFormat/>
    <w:rsid w:val="00586C74"/>
    <w:pPr>
      <w:numPr>
        <w:numId w:val="4"/>
      </w:numPr>
      <w:ind w:left="426" w:hanging="426"/>
    </w:pPr>
  </w:style>
  <w:style w:type="paragraph" w:styleId="Fodnotetekst">
    <w:name w:val="footnote text"/>
    <w:basedOn w:val="Normal"/>
    <w:link w:val="FodnotetekstTegn"/>
    <w:uiPriority w:val="2"/>
    <w:qFormat/>
    <w:rsid w:val="00E2456A"/>
    <w:pPr>
      <w:spacing w:line="360" w:lineRule="auto"/>
    </w:pPr>
    <w:rPr>
      <w:sz w:val="16"/>
    </w:rPr>
  </w:style>
  <w:style w:type="character" w:customStyle="1" w:styleId="FodnotetekstTegn">
    <w:name w:val="Fodnotetekst Tegn"/>
    <w:basedOn w:val="Standardskrifttypeiafsnit"/>
    <w:link w:val="Fodnotetekst"/>
    <w:uiPriority w:val="2"/>
    <w:rsid w:val="00E2456A"/>
    <w:rPr>
      <w:rFonts w:ascii="Arial" w:hAnsi="Arial"/>
      <w:sz w:val="16"/>
    </w:rPr>
  </w:style>
  <w:style w:type="character" w:styleId="Fodnotehenvisning">
    <w:name w:val="footnote reference"/>
    <w:basedOn w:val="Standardskrifttypeiafsnit"/>
    <w:uiPriority w:val="99"/>
    <w:semiHidden/>
    <w:unhideWhenUsed/>
    <w:rsid w:val="00E2456A"/>
    <w:rPr>
      <w:vertAlign w:val="superscript"/>
    </w:rPr>
  </w:style>
  <w:style w:type="character" w:styleId="Kommentarhenvisning">
    <w:name w:val="annotation reference"/>
    <w:basedOn w:val="Standardskrifttypeiafsnit"/>
    <w:uiPriority w:val="99"/>
    <w:semiHidden/>
    <w:unhideWhenUsed/>
    <w:rsid w:val="000E4F71"/>
    <w:rPr>
      <w:sz w:val="16"/>
      <w:szCs w:val="16"/>
    </w:rPr>
  </w:style>
  <w:style w:type="paragraph" w:styleId="Kommentartekst">
    <w:name w:val="annotation text"/>
    <w:basedOn w:val="Normal"/>
    <w:link w:val="KommentartekstTegn"/>
    <w:uiPriority w:val="99"/>
    <w:semiHidden/>
    <w:unhideWhenUsed/>
    <w:rsid w:val="000E4F71"/>
    <w:pPr>
      <w:spacing w:line="240" w:lineRule="auto"/>
    </w:pPr>
    <w:rPr>
      <w:sz w:val="20"/>
    </w:rPr>
  </w:style>
  <w:style w:type="character" w:customStyle="1" w:styleId="KommentartekstTegn">
    <w:name w:val="Kommentartekst Tegn"/>
    <w:basedOn w:val="Standardskrifttypeiafsnit"/>
    <w:link w:val="Kommentartekst"/>
    <w:uiPriority w:val="99"/>
    <w:semiHidden/>
    <w:rsid w:val="000E4F71"/>
    <w:rPr>
      <w:rFonts w:ascii="Arial" w:hAnsi="Arial"/>
    </w:rPr>
  </w:style>
  <w:style w:type="paragraph" w:styleId="Kommentaremne">
    <w:name w:val="annotation subject"/>
    <w:basedOn w:val="Kommentartekst"/>
    <w:next w:val="Kommentartekst"/>
    <w:link w:val="KommentaremneTegn"/>
    <w:uiPriority w:val="99"/>
    <w:semiHidden/>
    <w:unhideWhenUsed/>
    <w:rsid w:val="000E4F71"/>
    <w:rPr>
      <w:b/>
      <w:bCs/>
    </w:rPr>
  </w:style>
  <w:style w:type="character" w:customStyle="1" w:styleId="KommentaremneTegn">
    <w:name w:val="Kommentaremne Tegn"/>
    <w:basedOn w:val="KommentartekstTegn"/>
    <w:link w:val="Kommentaremne"/>
    <w:uiPriority w:val="99"/>
    <w:semiHidden/>
    <w:rsid w:val="000E4F71"/>
    <w:rPr>
      <w:rFonts w:ascii="Arial" w:hAnsi="Arial"/>
      <w:b/>
      <w:bCs/>
    </w:rPr>
  </w:style>
  <w:style w:type="character" w:customStyle="1" w:styleId="BrdtekstTegn">
    <w:name w:val="Brødtekst Tegn"/>
    <w:basedOn w:val="Standardskrifttypeiafsnit"/>
    <w:link w:val="Brdtekst"/>
    <w:rsid w:val="009F65A4"/>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skabeloner\FT-Skabelon\Notat.dotm" TargetMode="External"/></Relationships>
</file>

<file path=word/theme/theme1.xml><?xml version="1.0" encoding="utf-8"?>
<a:theme xmlns:a="http://schemas.openxmlformats.org/drawingml/2006/main" name="Kontortema">
  <a:themeElements>
    <a:clrScheme name="FT farver">
      <a:dk1>
        <a:sysClr val="windowText" lastClr="000000"/>
      </a:dk1>
      <a:lt1>
        <a:sysClr val="window" lastClr="FFFFFF"/>
      </a:lt1>
      <a:dk2>
        <a:srgbClr val="5F1A15"/>
      </a:dk2>
      <a:lt2>
        <a:srgbClr val="F0E1CD"/>
      </a:lt2>
      <a:accent1>
        <a:srgbClr val="990000"/>
      </a:accent1>
      <a:accent2>
        <a:srgbClr val="FF9933"/>
      </a:accent2>
      <a:accent3>
        <a:srgbClr val="00505F"/>
      </a:accent3>
      <a:accent4>
        <a:srgbClr val="82A0AA"/>
      </a:accent4>
      <a:accent5>
        <a:srgbClr val="1E5F32"/>
      </a:accent5>
      <a:accent6>
        <a:srgbClr val="9BD2AA"/>
      </a:accent6>
      <a:hlink>
        <a:srgbClr val="990000"/>
      </a:hlink>
      <a:folHlink>
        <a:srgbClr val="FF9933"/>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3422E-41A6-4911-93C9-2ADC8DC22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Notat</Template>
  <TotalTime>38</TotalTime>
  <Pages>4</Pages>
  <Words>1070</Words>
  <Characters>6855</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lpstr>
    </vt:vector>
  </TitlesOfParts>
  <Company/>
  <LinksUpToDate>false</LinksUpToDate>
  <CharactersWithSpaces>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 Lynggaard Germann (FT)</dc:creator>
  <cp:keywords/>
  <cp:lastModifiedBy>Thomas Lynggaard Germann (FT)</cp:lastModifiedBy>
  <cp:revision>6</cp:revision>
  <cp:lastPrinted>2002-07-26T09:51:00Z</cp:lastPrinted>
  <dcterms:created xsi:type="dcterms:W3CDTF">2022-06-06T10:20:00Z</dcterms:created>
  <dcterms:modified xsi:type="dcterms:W3CDTF">2022-06-24T13:04:00Z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
    <vt:lpwstr/>
  </property>
  <property fmtid="{D5CDD505-2E9C-101B-9397-08002B2CF9AE}" pid="3" name="DocNumber">
    <vt:i4>0</vt:i4>
  </property>
  <property fmtid="{D5CDD505-2E9C-101B-9397-08002B2CF9AE}" pid="4" name="AdrCode">
    <vt:lpwstr/>
  </property>
  <property fmtid="{D5CDD505-2E9C-101B-9397-08002B2CF9AE}" pid="5" name="Modtager">
    <vt:lpwstr/>
  </property>
  <property fmtid="{D5CDD505-2E9C-101B-9397-08002B2CF9AE}" pid="6" name="PDokDato">
    <vt:lpwstr>31. maj 2022</vt:lpwstr>
  </property>
  <property fmtid="{D5CDD505-2E9C-101B-9397-08002B2CF9AE}" pid="7" name="PJournalNr">
    <vt:lpwstr/>
  </property>
  <property fmtid="{D5CDD505-2E9C-101B-9397-08002B2CF9AE}" pid="8" name="PEmne">
    <vt:lpwstr>ffff</vt:lpwstr>
  </property>
  <property fmtid="{D5CDD505-2E9C-101B-9397-08002B2CF9AE}" pid="9" name="PATitle">
    <vt:lpwstr/>
  </property>
  <property fmtid="{D5CDD505-2E9C-101B-9397-08002B2CF9AE}" pid="10" name="PATlf">
    <vt:lpwstr/>
  </property>
  <property fmtid="{D5CDD505-2E9C-101B-9397-08002B2CF9AE}" pid="11" name="PAEmail">
    <vt:lpwstr/>
  </property>
  <property fmtid="{D5CDD505-2E9C-101B-9397-08002B2CF9AE}" pid="12" name="ModtRef">
    <vt:lpwstr/>
  </property>
  <property fmtid="{D5CDD505-2E9C-101B-9397-08002B2CF9AE}" pid="13" name="Initialer">
    <vt:lpwstr>TLG</vt:lpwstr>
  </property>
  <property fmtid="{D5CDD505-2E9C-101B-9397-08002B2CF9AE}" pid="14" name="Bilag">
    <vt:i4>0</vt:i4>
  </property>
  <property fmtid="{D5CDD505-2E9C-101B-9397-08002B2CF9AE}" pid="15" name="Kontor">
    <vt:lpwstr/>
  </property>
  <property fmtid="{D5CDD505-2E9C-101B-9397-08002B2CF9AE}" pid="16" name="Diverse">
    <vt:lpwstr/>
  </property>
</Properties>
</file>