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4C" w:rsidRPr="0075184C" w:rsidRDefault="0075184C" w:rsidP="0075184C">
      <w:pPr>
        <w:ind w:left="-709"/>
        <w:jc w:val="center"/>
        <w:rPr>
          <w:rFonts w:cs="Arial"/>
          <w:b/>
          <w:sz w:val="28"/>
          <w:szCs w:val="28"/>
          <w:lang w:val="en-US"/>
        </w:rPr>
      </w:pPr>
      <w:r w:rsidRPr="0075184C">
        <w:rPr>
          <w:rFonts w:cs="Arial"/>
          <w:b/>
          <w:sz w:val="28"/>
          <w:szCs w:val="28"/>
          <w:lang w:val="en-US"/>
        </w:rPr>
        <w:t>Standard form for notification of major holdings</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1"/>
        <w:gridCol w:w="6261"/>
      </w:tblGrid>
      <w:tr w:rsidR="0075184C" w:rsidRPr="004F1FC0" w:rsidTr="00A77C87">
        <w:trPr>
          <w:trHeight w:val="343"/>
        </w:trPr>
        <w:tc>
          <w:tcPr>
            <w:tcW w:w="10632" w:type="dxa"/>
            <w:gridSpan w:val="2"/>
            <w:vAlign w:val="center"/>
          </w:tcPr>
          <w:p w:rsidR="0075184C" w:rsidRPr="0075184C" w:rsidRDefault="0075184C" w:rsidP="00D276DC">
            <w:pPr>
              <w:autoSpaceDE w:val="0"/>
              <w:autoSpaceDN w:val="0"/>
              <w:adjustRightInd w:val="0"/>
              <w:rPr>
                <w:rFonts w:cs="Arial"/>
                <w:b/>
                <w:color w:val="FFFFFF"/>
                <w:sz w:val="28"/>
                <w:szCs w:val="28"/>
                <w:lang w:val="en-US"/>
              </w:rPr>
            </w:pPr>
            <w:r w:rsidRPr="0075184C">
              <w:rPr>
                <w:rFonts w:cs="Arial"/>
                <w:b/>
                <w:lang w:val="en-US"/>
              </w:rPr>
              <w:t>NOTIFICATION OF MAJOR HOLDINGS</w:t>
            </w:r>
            <w:r w:rsidRPr="0075184C">
              <w:rPr>
                <w:rFonts w:cs="Arial"/>
                <w:b/>
                <w:sz w:val="24"/>
                <w:szCs w:val="28"/>
                <w:lang w:val="en-US"/>
              </w:rPr>
              <w:t xml:space="preserve"> </w:t>
            </w:r>
            <w:r w:rsidRPr="0075184C">
              <w:rPr>
                <w:rFonts w:ascii="Arial-BoldMT" w:hAnsi="Arial-BoldMT" w:cs="Arial-BoldMT"/>
                <w:bCs/>
                <w:lang w:val="en-US" w:eastAsia="fr-LU"/>
              </w:rPr>
              <w:t xml:space="preserve">(to be uploaded at </w:t>
            </w:r>
            <w:hyperlink r:id="rId8" w:history="1">
              <w:r w:rsidRPr="0075184C">
                <w:rPr>
                  <w:rStyle w:val="Hyperlink"/>
                  <w:rFonts w:ascii="Arial-BoldMT" w:hAnsi="Arial-BoldMT" w:cs="Arial-BoldMT"/>
                  <w:bCs/>
                  <w:lang w:val="en-US" w:eastAsia="fr-LU"/>
                </w:rPr>
                <w:t>http://oasm.finanstilsynet.dk</w:t>
              </w:r>
            </w:hyperlink>
            <w:r w:rsidRPr="0075184C">
              <w:rPr>
                <w:rFonts w:ascii="Arial-BoldMT" w:hAnsi="Arial-BoldMT" w:cs="Arial-BoldMT"/>
                <w:bCs/>
                <w:lang w:val="en-US" w:eastAsia="fr-LU"/>
              </w:rPr>
              <w:t>)</w:t>
            </w:r>
          </w:p>
        </w:tc>
      </w:tr>
      <w:tr w:rsidR="0075184C" w:rsidRPr="004F1FC0" w:rsidTr="00A77C87">
        <w:trPr>
          <w:trHeight w:val="20"/>
        </w:trPr>
        <w:tc>
          <w:tcPr>
            <w:tcW w:w="10632" w:type="dxa"/>
            <w:gridSpan w:val="2"/>
            <w:tcBorders>
              <w:left w:val="nil"/>
              <w:right w:val="nil"/>
            </w:tcBorders>
            <w:vAlign w:val="center"/>
          </w:tcPr>
          <w:p w:rsidR="0075184C" w:rsidRPr="0075184C" w:rsidRDefault="0075184C" w:rsidP="00D276DC">
            <w:pPr>
              <w:jc w:val="right"/>
              <w:rPr>
                <w:rFonts w:cs="Arial"/>
                <w:sz w:val="20"/>
                <w:szCs w:val="20"/>
                <w:lang w:val="en-US"/>
              </w:rPr>
            </w:pPr>
          </w:p>
        </w:tc>
      </w:tr>
      <w:tr w:rsidR="0075184C" w:rsidRPr="004F1FC0" w:rsidTr="00A77C87">
        <w:trPr>
          <w:trHeight w:val="732"/>
        </w:trPr>
        <w:tc>
          <w:tcPr>
            <w:tcW w:w="10632" w:type="dxa"/>
            <w:gridSpan w:val="2"/>
            <w:vAlign w:val="center"/>
          </w:tcPr>
          <w:p w:rsidR="0075184C" w:rsidRPr="0075184C" w:rsidRDefault="0075184C" w:rsidP="00D276DC">
            <w:pPr>
              <w:rPr>
                <w:rFonts w:cs="Arial"/>
                <w:lang w:val="en-US"/>
              </w:rPr>
            </w:pPr>
            <w:r w:rsidRPr="0075184C">
              <w:rPr>
                <w:rFonts w:cs="Arial"/>
                <w:b/>
                <w:lang w:val="en-US"/>
              </w:rPr>
              <w:t>1. Identity of the issuer or the underlying issuer of existing shares to which voting rights are attached</w:t>
            </w:r>
            <w:r w:rsidRPr="00D77A9F">
              <w:rPr>
                <w:rStyle w:val="Slutnotehenvisning"/>
              </w:rPr>
              <w:endnoteReference w:id="1"/>
            </w:r>
            <w:r w:rsidRPr="0075184C">
              <w:rPr>
                <w:rFonts w:cs="Arial"/>
                <w:b/>
                <w:lang w:val="en-US"/>
              </w:rPr>
              <w:t>:</w:t>
            </w:r>
            <w:r w:rsidRPr="0075184C">
              <w:rPr>
                <w:rStyle w:val="Slutnotehenvisning"/>
                <w:rFonts w:cs="Arial"/>
                <w:lang w:val="en-US"/>
              </w:rPr>
              <w:t xml:space="preserve"> </w:t>
            </w:r>
          </w:p>
          <w:p w:rsidR="0075184C" w:rsidRPr="0075184C" w:rsidRDefault="0075184C" w:rsidP="00D276DC">
            <w:pPr>
              <w:rPr>
                <w:rFonts w:cs="Arial"/>
                <w:sz w:val="20"/>
                <w:szCs w:val="20"/>
                <w:lang w:val="en-US"/>
              </w:rPr>
            </w:pPr>
          </w:p>
          <w:p w:rsidR="0075184C" w:rsidRPr="0075184C" w:rsidRDefault="0075184C" w:rsidP="00D276DC">
            <w:pPr>
              <w:rPr>
                <w:rFonts w:cs="Arial"/>
                <w:sz w:val="20"/>
                <w:szCs w:val="20"/>
                <w:lang w:val="en-US"/>
              </w:rPr>
            </w:pPr>
          </w:p>
        </w:tc>
      </w:tr>
      <w:tr w:rsidR="0075184C" w:rsidRPr="006D2727" w:rsidTr="00A77C87">
        <w:trPr>
          <w:trHeight w:val="440"/>
        </w:trPr>
        <w:tc>
          <w:tcPr>
            <w:tcW w:w="10632" w:type="dxa"/>
            <w:gridSpan w:val="2"/>
            <w:vAlign w:val="center"/>
          </w:tcPr>
          <w:p w:rsidR="0075184C" w:rsidRPr="0075184C" w:rsidRDefault="0075184C" w:rsidP="00D276DC">
            <w:pPr>
              <w:rPr>
                <w:rFonts w:cs="Arial"/>
                <w:lang w:val="en-US"/>
              </w:rPr>
            </w:pPr>
            <w:r w:rsidRPr="0075184C">
              <w:rPr>
                <w:rFonts w:cs="Arial"/>
                <w:b/>
                <w:lang w:val="en-US"/>
              </w:rPr>
              <w:t xml:space="preserve">2. Reason for the notification </w:t>
            </w:r>
            <w:r w:rsidRPr="0075184C">
              <w:rPr>
                <w:rFonts w:cs="Arial"/>
                <w:lang w:val="en-US"/>
              </w:rPr>
              <w:t>(please tick the appropriate box or boxes):</w:t>
            </w:r>
          </w:p>
          <w:p w:rsidR="0075184C" w:rsidRPr="0075184C" w:rsidRDefault="0075184C" w:rsidP="0075184C">
            <w:pPr>
              <w:spacing w:line="140" w:lineRule="exact"/>
              <w:rPr>
                <w:rFonts w:cs="Arial"/>
                <w:sz w:val="20"/>
                <w:lang w:val="en-US"/>
              </w:rPr>
            </w:pPr>
          </w:p>
          <w:p w:rsidR="0075184C" w:rsidRPr="004F1FC0" w:rsidRDefault="004F1FC0" w:rsidP="004F1FC0">
            <w:pPr>
              <w:rPr>
                <w:rFonts w:cs="Arial"/>
                <w:lang w:val="en-US"/>
              </w:rPr>
            </w:pPr>
            <w:sdt>
              <w:sdtPr>
                <w:rPr>
                  <w:rFonts w:cs="Arial"/>
                  <w:lang w:val="en-US"/>
                </w:rPr>
                <w:id w:val="531695598"/>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cs="Arial"/>
                <w:lang w:val="en-US"/>
              </w:rPr>
              <w:t xml:space="preserve"> </w:t>
            </w:r>
            <w:r w:rsidR="0075184C" w:rsidRPr="004F1FC0">
              <w:rPr>
                <w:rFonts w:cs="Arial"/>
                <w:lang w:val="en-US"/>
              </w:rPr>
              <w:t>An acquisition or disposal of voting rights or share capital</w:t>
            </w:r>
          </w:p>
          <w:p w:rsidR="0075184C" w:rsidRPr="004F1FC0" w:rsidRDefault="004F1FC0" w:rsidP="004F1FC0">
            <w:pPr>
              <w:rPr>
                <w:rFonts w:cs="Arial"/>
                <w:lang w:val="en-US"/>
              </w:rPr>
            </w:pPr>
            <w:sdt>
              <w:sdtPr>
                <w:rPr>
                  <w:rFonts w:cs="Arial"/>
                  <w:lang w:val="en-US"/>
                </w:rPr>
                <w:id w:val="365644113"/>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Pr>
                <w:rFonts w:cs="Arial"/>
                <w:lang w:val="en-US"/>
              </w:rPr>
              <w:t xml:space="preserve"> </w:t>
            </w:r>
            <w:r w:rsidR="0075184C" w:rsidRPr="004F1FC0">
              <w:rPr>
                <w:rFonts w:cs="Arial"/>
                <w:lang w:val="en-US"/>
              </w:rPr>
              <w:t>An acquisition or disposal of financial instruments</w:t>
            </w:r>
          </w:p>
          <w:p w:rsidR="0075184C" w:rsidRPr="004F1FC0" w:rsidRDefault="004F1FC0" w:rsidP="004F1FC0">
            <w:pPr>
              <w:rPr>
                <w:rFonts w:cs="Arial"/>
                <w:lang w:val="en-US"/>
              </w:rPr>
            </w:pPr>
            <w:sdt>
              <w:sdtPr>
                <w:rPr>
                  <w:rFonts w:cs="Arial"/>
                  <w:lang w:val="en-US"/>
                </w:rPr>
                <w:id w:val="-1235310735"/>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4F1FC0">
              <w:rPr>
                <w:rFonts w:cs="Arial"/>
                <w:lang w:val="en-US"/>
              </w:rPr>
              <w:t xml:space="preserve"> </w:t>
            </w:r>
            <w:r w:rsidR="0075184C" w:rsidRPr="004F1FC0">
              <w:rPr>
                <w:rFonts w:cs="Arial"/>
                <w:lang w:val="en-US"/>
              </w:rPr>
              <w:t>An event changing the breakdown of voting rights or share capital</w:t>
            </w:r>
          </w:p>
          <w:p w:rsidR="0075184C" w:rsidRPr="004F1FC0" w:rsidRDefault="004F1FC0" w:rsidP="004F1FC0">
            <w:pPr>
              <w:rPr>
                <w:rFonts w:cs="Arial"/>
              </w:rPr>
            </w:pPr>
            <w:sdt>
              <w:sdtPr>
                <w:rPr>
                  <w:rFonts w:cs="Arial"/>
                  <w:lang w:val="en-US"/>
                </w:rPr>
                <w:id w:val="-249514480"/>
                <w14:checkbox>
                  <w14:checked w14:val="0"/>
                  <w14:checkedState w14:val="2612" w14:font="MS Gothic"/>
                  <w14:uncheckedState w14:val="2610" w14:font="MS Gothic"/>
                </w14:checkbox>
              </w:sdtPr>
              <w:sdtContent>
                <w:r>
                  <w:rPr>
                    <w:rFonts w:ascii="MS Gothic" w:eastAsia="MS Gothic" w:hAnsi="MS Gothic" w:cs="Arial" w:hint="eastAsia"/>
                    <w:lang w:val="en-US"/>
                  </w:rPr>
                  <w:t>☐</w:t>
                </w:r>
              </w:sdtContent>
            </w:sdt>
            <w:r w:rsidRPr="004F1FC0">
              <w:rPr>
                <w:rFonts w:cs="Arial"/>
                <w:lang w:val="en-US"/>
              </w:rPr>
              <w:t xml:space="preserve"> </w:t>
            </w:r>
            <w:proofErr w:type="spellStart"/>
            <w:r w:rsidR="0075184C" w:rsidRPr="004F1FC0">
              <w:rPr>
                <w:rFonts w:cs="Arial"/>
              </w:rPr>
              <w:t>Other</w:t>
            </w:r>
            <w:proofErr w:type="spellEnd"/>
            <w:r w:rsidR="0075184C" w:rsidRPr="004F1FC0">
              <w:rPr>
                <w:rFonts w:cs="Arial"/>
              </w:rPr>
              <w:t xml:space="preserve"> (</w:t>
            </w:r>
            <w:proofErr w:type="spellStart"/>
            <w:r w:rsidR="0075184C" w:rsidRPr="004F1FC0">
              <w:rPr>
                <w:rFonts w:cs="Arial"/>
              </w:rPr>
              <w:t>please</w:t>
            </w:r>
            <w:proofErr w:type="spellEnd"/>
            <w:r w:rsidR="0075184C" w:rsidRPr="004F1FC0">
              <w:rPr>
                <w:rFonts w:cs="Arial"/>
              </w:rPr>
              <w:t xml:space="preserve"> </w:t>
            </w:r>
            <w:proofErr w:type="spellStart"/>
            <w:r w:rsidR="0075184C" w:rsidRPr="004F1FC0">
              <w:rPr>
                <w:rFonts w:cs="Arial"/>
              </w:rPr>
              <w:t>specify</w:t>
            </w:r>
            <w:proofErr w:type="spellEnd"/>
            <w:r w:rsidR="0075184C" w:rsidRPr="004F1FC0">
              <w:rPr>
                <w:rFonts w:cs="Arial"/>
              </w:rPr>
              <w:t>)</w:t>
            </w:r>
            <w:r w:rsidR="0075184C">
              <w:rPr>
                <w:rStyle w:val="Slutnotehenvisning"/>
              </w:rPr>
              <w:endnoteReference w:id="2"/>
            </w:r>
            <w:r w:rsidR="0075184C" w:rsidRPr="004F1FC0">
              <w:rPr>
                <w:rFonts w:cs="Arial"/>
              </w:rPr>
              <w:t>:</w:t>
            </w:r>
          </w:p>
          <w:p w:rsidR="0075184C" w:rsidRPr="006D2727" w:rsidRDefault="0075184C" w:rsidP="00D276DC">
            <w:pPr>
              <w:rPr>
                <w:rFonts w:cs="Arial"/>
              </w:rPr>
            </w:pPr>
          </w:p>
          <w:p w:rsidR="0075184C" w:rsidRPr="006D2727" w:rsidRDefault="0075184C" w:rsidP="00D276DC">
            <w:pPr>
              <w:rPr>
                <w:rFonts w:cs="Arial"/>
              </w:rPr>
            </w:pPr>
          </w:p>
        </w:tc>
      </w:tr>
      <w:tr w:rsidR="0075184C" w:rsidRPr="004F1FC0" w:rsidTr="00A77C87">
        <w:trPr>
          <w:trHeight w:val="390"/>
        </w:trPr>
        <w:tc>
          <w:tcPr>
            <w:tcW w:w="10632" w:type="dxa"/>
            <w:gridSpan w:val="2"/>
            <w:tcBorders>
              <w:bottom w:val="nil"/>
            </w:tcBorders>
            <w:vAlign w:val="center"/>
          </w:tcPr>
          <w:p w:rsidR="0075184C" w:rsidRPr="0075184C" w:rsidRDefault="0075184C" w:rsidP="00D276DC">
            <w:pPr>
              <w:rPr>
                <w:rFonts w:cs="Arial"/>
                <w:sz w:val="20"/>
                <w:szCs w:val="20"/>
                <w:lang w:val="en-US"/>
              </w:rPr>
            </w:pPr>
            <w:r w:rsidRPr="0075184C">
              <w:rPr>
                <w:rFonts w:cs="Arial"/>
                <w:b/>
                <w:lang w:val="en-US"/>
              </w:rPr>
              <w:t>3. Details of person subject to the notification obligation</w:t>
            </w:r>
            <w:r w:rsidRPr="00D77A9F">
              <w:rPr>
                <w:rStyle w:val="Slutnotehenvisning"/>
              </w:rPr>
              <w:endnoteReference w:id="3"/>
            </w:r>
            <w:r w:rsidRPr="0075184C">
              <w:rPr>
                <w:rFonts w:cs="Arial"/>
                <w:b/>
                <w:lang w:val="en-US"/>
              </w:rPr>
              <w:t>:</w:t>
            </w:r>
          </w:p>
        </w:tc>
      </w:tr>
      <w:tr w:rsidR="0075184C" w:rsidRPr="006D2727" w:rsidTr="00A77C87">
        <w:trPr>
          <w:trHeight w:val="390"/>
        </w:trPr>
        <w:tc>
          <w:tcPr>
            <w:tcW w:w="4371" w:type="dxa"/>
            <w:tcBorders>
              <w:top w:val="nil"/>
            </w:tcBorders>
          </w:tcPr>
          <w:p w:rsidR="0075184C" w:rsidRPr="006D2727" w:rsidRDefault="0075184C" w:rsidP="00D276DC">
            <w:pPr>
              <w:rPr>
                <w:rFonts w:cs="Arial"/>
              </w:rPr>
            </w:pPr>
            <w:proofErr w:type="spellStart"/>
            <w:r w:rsidRPr="006D2727">
              <w:rPr>
                <w:rFonts w:cs="Arial"/>
              </w:rPr>
              <w:t>Name</w:t>
            </w:r>
            <w:proofErr w:type="spellEnd"/>
            <w:r w:rsidRPr="006D2727">
              <w:rPr>
                <w:rFonts w:cs="Arial"/>
              </w:rPr>
              <w:t>:</w:t>
            </w:r>
          </w:p>
        </w:tc>
        <w:tc>
          <w:tcPr>
            <w:tcW w:w="6261" w:type="dxa"/>
            <w:tcBorders>
              <w:top w:val="nil"/>
            </w:tcBorders>
            <w:vAlign w:val="center"/>
          </w:tcPr>
          <w:p w:rsidR="0075184C" w:rsidRPr="0075184C" w:rsidRDefault="0075184C" w:rsidP="00D276DC">
            <w:pPr>
              <w:rPr>
                <w:rFonts w:cs="Arial"/>
                <w:lang w:val="en-US"/>
              </w:rPr>
            </w:pPr>
            <w:r w:rsidRPr="0075184C">
              <w:rPr>
                <w:rFonts w:cs="Arial"/>
                <w:lang w:val="en-US"/>
              </w:rPr>
              <w:t xml:space="preserve">City and country of registered office </w:t>
            </w:r>
          </w:p>
          <w:p w:rsidR="0075184C" w:rsidRPr="006D2727" w:rsidRDefault="0075184C" w:rsidP="00D276DC">
            <w:pPr>
              <w:rPr>
                <w:rFonts w:cs="Arial"/>
              </w:rPr>
            </w:pPr>
            <w:r w:rsidRPr="006D2727">
              <w:rPr>
                <w:rFonts w:cs="Arial"/>
              </w:rPr>
              <w:t xml:space="preserve">(if </w:t>
            </w:r>
            <w:proofErr w:type="spellStart"/>
            <w:r w:rsidRPr="006D2727">
              <w:rPr>
                <w:rFonts w:cs="Arial"/>
              </w:rPr>
              <w:t>applicable</w:t>
            </w:r>
            <w:proofErr w:type="spellEnd"/>
            <w:r w:rsidRPr="006D2727">
              <w:rPr>
                <w:rFonts w:cs="Arial"/>
              </w:rPr>
              <w:t>):</w:t>
            </w:r>
          </w:p>
          <w:p w:rsidR="0075184C" w:rsidRPr="006D2727" w:rsidRDefault="0075184C" w:rsidP="00D276DC">
            <w:pPr>
              <w:rPr>
                <w:rFonts w:cs="Arial"/>
              </w:rPr>
            </w:pPr>
          </w:p>
        </w:tc>
      </w:tr>
      <w:tr w:rsidR="0075184C" w:rsidRPr="004F1FC0" w:rsidTr="00A77C87">
        <w:trPr>
          <w:trHeight w:val="738"/>
        </w:trPr>
        <w:tc>
          <w:tcPr>
            <w:tcW w:w="10632" w:type="dxa"/>
            <w:gridSpan w:val="2"/>
            <w:vAlign w:val="center"/>
          </w:tcPr>
          <w:p w:rsidR="0075184C" w:rsidRPr="0075184C" w:rsidRDefault="0075184C" w:rsidP="00D276DC">
            <w:pPr>
              <w:rPr>
                <w:rFonts w:cs="Arial"/>
                <w:lang w:val="en-US"/>
              </w:rPr>
            </w:pPr>
            <w:r w:rsidRPr="0075184C">
              <w:rPr>
                <w:rFonts w:cs="Arial"/>
                <w:b/>
                <w:lang w:val="en-US"/>
              </w:rPr>
              <w:t>4. Full name of shareholder(s)</w:t>
            </w:r>
            <w:r w:rsidRPr="0075184C">
              <w:rPr>
                <w:rFonts w:cs="Arial"/>
                <w:lang w:val="en-US"/>
              </w:rPr>
              <w:t xml:space="preserve"> (if different from 3.)</w:t>
            </w:r>
            <w:r>
              <w:rPr>
                <w:rStyle w:val="Slutnotehenvisning"/>
              </w:rPr>
              <w:endnoteReference w:id="4"/>
            </w:r>
            <w:r w:rsidRPr="0075184C">
              <w:rPr>
                <w:rFonts w:cs="Arial"/>
                <w:lang w:val="en-US"/>
              </w:rPr>
              <w:t>:</w:t>
            </w:r>
          </w:p>
          <w:p w:rsidR="0075184C" w:rsidRPr="0075184C" w:rsidRDefault="0075184C" w:rsidP="00D276DC">
            <w:pPr>
              <w:rPr>
                <w:rFonts w:cs="Arial"/>
                <w:lang w:val="en-US"/>
              </w:rPr>
            </w:pPr>
          </w:p>
          <w:p w:rsidR="0075184C" w:rsidRPr="0075184C" w:rsidRDefault="0075184C" w:rsidP="00D276DC">
            <w:pPr>
              <w:rPr>
                <w:rFonts w:cs="Arial"/>
                <w:sz w:val="20"/>
                <w:szCs w:val="20"/>
                <w:lang w:val="en-US"/>
              </w:rPr>
            </w:pPr>
          </w:p>
        </w:tc>
      </w:tr>
      <w:tr w:rsidR="0075184C" w:rsidRPr="004F1FC0" w:rsidTr="00A77C87">
        <w:trPr>
          <w:trHeight w:val="598"/>
        </w:trPr>
        <w:tc>
          <w:tcPr>
            <w:tcW w:w="10632" w:type="dxa"/>
            <w:gridSpan w:val="2"/>
            <w:vAlign w:val="center"/>
          </w:tcPr>
          <w:p w:rsidR="0075184C" w:rsidRPr="0075184C" w:rsidRDefault="0075184C" w:rsidP="00D276DC">
            <w:pPr>
              <w:rPr>
                <w:rFonts w:cs="Arial"/>
                <w:b/>
                <w:lang w:val="en-US"/>
              </w:rPr>
            </w:pPr>
            <w:r w:rsidRPr="0075184C">
              <w:rPr>
                <w:rFonts w:cs="Arial"/>
                <w:b/>
                <w:lang w:val="en-US"/>
              </w:rPr>
              <w:t>5. Date on which the threshold was crossed or reached</w:t>
            </w:r>
            <w:r w:rsidRPr="00D77A9F">
              <w:rPr>
                <w:rStyle w:val="Slutnotehenvisning"/>
              </w:rPr>
              <w:endnoteReference w:id="5"/>
            </w:r>
            <w:r w:rsidRPr="0075184C">
              <w:rPr>
                <w:rFonts w:cs="Arial"/>
                <w:b/>
                <w:lang w:val="en-US"/>
              </w:rPr>
              <w:t>:</w:t>
            </w:r>
          </w:p>
          <w:p w:rsidR="0075184C" w:rsidRPr="0075184C" w:rsidRDefault="0075184C" w:rsidP="00D276DC">
            <w:pPr>
              <w:rPr>
                <w:rFonts w:cs="Arial"/>
                <w:b/>
                <w:lang w:val="en-US"/>
              </w:rPr>
            </w:pPr>
          </w:p>
          <w:p w:rsidR="0075184C" w:rsidRPr="0075184C" w:rsidRDefault="0075184C" w:rsidP="00D276DC">
            <w:pPr>
              <w:rPr>
                <w:rFonts w:cs="Arial"/>
                <w:lang w:val="en-US"/>
              </w:rPr>
            </w:pPr>
          </w:p>
        </w:tc>
      </w:tr>
    </w:tbl>
    <w:p w:rsidR="0075184C" w:rsidRPr="0075184C" w:rsidRDefault="0075184C" w:rsidP="0075184C">
      <w:pPr>
        <w:spacing w:line="60" w:lineRule="exact"/>
        <w:rPr>
          <w:rFonts w:cs="Arial"/>
          <w:sz w:val="18"/>
          <w:lang w:val="en-US"/>
        </w:rPr>
      </w:pPr>
    </w:p>
    <w:tbl>
      <w:tblPr>
        <w:tblW w:w="1066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44"/>
        <w:gridCol w:w="2249"/>
        <w:gridCol w:w="2552"/>
        <w:gridCol w:w="1701"/>
        <w:gridCol w:w="1814"/>
      </w:tblGrid>
      <w:tr w:rsidR="0075184C" w:rsidRPr="004F1FC0" w:rsidTr="00D276DC">
        <w:trPr>
          <w:trHeight w:val="397"/>
          <w:jc w:val="center"/>
        </w:trPr>
        <w:tc>
          <w:tcPr>
            <w:tcW w:w="10660" w:type="dxa"/>
            <w:gridSpan w:val="5"/>
            <w:tcBorders>
              <w:top w:val="single" w:sz="4" w:space="0" w:color="auto"/>
              <w:bottom w:val="single" w:sz="4" w:space="0" w:color="auto"/>
            </w:tcBorders>
          </w:tcPr>
          <w:p w:rsidR="0075184C" w:rsidRPr="0075184C" w:rsidRDefault="0075184C" w:rsidP="00D276DC">
            <w:pPr>
              <w:rPr>
                <w:lang w:val="en-US"/>
              </w:rPr>
            </w:pPr>
            <w:r w:rsidRPr="0075184C">
              <w:rPr>
                <w:rFonts w:cs="Arial"/>
                <w:b/>
                <w:lang w:val="en-US"/>
              </w:rPr>
              <w:t>6. Total positions of person(s) subject to the notification obligation:</w:t>
            </w:r>
          </w:p>
        </w:tc>
      </w:tr>
      <w:tr w:rsidR="0075184C" w:rsidRPr="006D2727" w:rsidTr="0075184C">
        <w:trPr>
          <w:trHeight w:val="405"/>
          <w:jc w:val="center"/>
        </w:trPr>
        <w:tc>
          <w:tcPr>
            <w:tcW w:w="10660" w:type="dxa"/>
            <w:gridSpan w:val="5"/>
            <w:tcBorders>
              <w:top w:val="single" w:sz="4" w:space="0" w:color="auto"/>
              <w:bottom w:val="single" w:sz="4" w:space="0" w:color="auto"/>
            </w:tcBorders>
            <w:vAlign w:val="center"/>
          </w:tcPr>
          <w:p w:rsidR="0075184C" w:rsidRPr="004B3A93" w:rsidRDefault="0075184C" w:rsidP="0075184C">
            <w:pPr>
              <w:spacing w:line="240" w:lineRule="exact"/>
              <w:jc w:val="center"/>
              <w:rPr>
                <w:b/>
              </w:rPr>
            </w:pPr>
            <w:proofErr w:type="spellStart"/>
            <w:r w:rsidRPr="004B3A93">
              <w:rPr>
                <w:rFonts w:cs="Arial"/>
                <w:b/>
              </w:rPr>
              <w:t>Voting</w:t>
            </w:r>
            <w:proofErr w:type="spellEnd"/>
            <w:r w:rsidRPr="004B3A93">
              <w:rPr>
                <w:rFonts w:cs="Arial"/>
                <w:b/>
              </w:rPr>
              <w:t xml:space="preserve"> </w:t>
            </w:r>
            <w:proofErr w:type="spellStart"/>
            <w:r w:rsidRPr="004B3A93">
              <w:rPr>
                <w:rFonts w:cs="Arial"/>
                <w:b/>
              </w:rPr>
              <w:t>rights</w:t>
            </w:r>
            <w:proofErr w:type="spellEnd"/>
            <w:r w:rsidRPr="004B3A93">
              <w:rPr>
                <w:rFonts w:cs="Arial"/>
                <w:b/>
              </w:rPr>
              <w:t>:</w:t>
            </w:r>
          </w:p>
        </w:tc>
      </w:tr>
      <w:tr w:rsidR="0075184C" w:rsidRPr="004F1FC0" w:rsidTr="00D276DC">
        <w:trPr>
          <w:trHeight w:val="101"/>
          <w:jc w:val="center"/>
        </w:trPr>
        <w:tc>
          <w:tcPr>
            <w:tcW w:w="2344" w:type="dxa"/>
            <w:tcBorders>
              <w:top w:val="single" w:sz="4" w:space="0" w:color="auto"/>
              <w:bottom w:val="single" w:sz="4" w:space="0" w:color="auto"/>
              <w:right w:val="single" w:sz="4" w:space="0" w:color="auto"/>
            </w:tcBorders>
            <w:vAlign w:val="center"/>
          </w:tcPr>
          <w:p w:rsidR="0075184C" w:rsidRPr="006D2727" w:rsidRDefault="0075184C" w:rsidP="00D276DC"/>
        </w:tc>
        <w:tc>
          <w:tcPr>
            <w:tcW w:w="2249"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rFonts w:cs="Arial"/>
                <w:sz w:val="20"/>
                <w:szCs w:val="20"/>
                <w:lang w:val="en-US"/>
              </w:rPr>
            </w:pPr>
            <w:r w:rsidRPr="0075184C">
              <w:rPr>
                <w:rFonts w:cs="Arial"/>
                <w:sz w:val="20"/>
                <w:szCs w:val="20"/>
                <w:lang w:val="en-US"/>
              </w:rPr>
              <w:t>Voting rights attached to shares in %</w:t>
            </w:r>
          </w:p>
          <w:p w:rsidR="0075184C" w:rsidRPr="00D95BE1" w:rsidRDefault="0075184C" w:rsidP="00D276DC">
            <w:pPr>
              <w:rPr>
                <w:rFonts w:cs="Arial"/>
                <w:sz w:val="20"/>
                <w:szCs w:val="20"/>
              </w:rPr>
            </w:pPr>
            <w:r w:rsidRPr="006D2727">
              <w:rPr>
                <w:rFonts w:cs="Arial"/>
                <w:sz w:val="20"/>
                <w:szCs w:val="20"/>
              </w:rPr>
              <w:t>(total of 7</w:t>
            </w:r>
            <w:r>
              <w:rPr>
                <w:rFonts w:cs="Arial"/>
                <w:sz w:val="20"/>
                <w:szCs w:val="20"/>
              </w:rPr>
              <w:t>.1</w:t>
            </w:r>
            <w:r w:rsidRPr="006D2727">
              <w:rPr>
                <w:rFonts w:cs="Arial"/>
                <w:sz w:val="20"/>
                <w:szCs w:val="20"/>
              </w:rPr>
              <w:t>.A)</w:t>
            </w:r>
          </w:p>
        </w:tc>
        <w:tc>
          <w:tcPr>
            <w:tcW w:w="2552"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lang w:val="en-US"/>
              </w:rPr>
            </w:pPr>
            <w:r w:rsidRPr="0075184C">
              <w:rPr>
                <w:rFonts w:cs="Arial"/>
                <w:sz w:val="20"/>
                <w:lang w:val="en-US"/>
              </w:rPr>
              <w:t xml:space="preserve">Voting rights through </w:t>
            </w:r>
            <w:r w:rsidRPr="0075184C">
              <w:rPr>
                <w:rFonts w:cs="Arial"/>
                <w:sz w:val="20"/>
                <w:szCs w:val="20"/>
                <w:lang w:val="en-US"/>
              </w:rPr>
              <w:t>financial instruments in %</w:t>
            </w:r>
            <w:r w:rsidRPr="0075184C">
              <w:rPr>
                <w:rFonts w:cs="Arial"/>
                <w:sz w:val="20"/>
                <w:szCs w:val="20"/>
                <w:lang w:val="en-US"/>
              </w:rPr>
              <w:br/>
              <w:t>(total of 7.1.B.1 + 7.1.B.2)</w:t>
            </w:r>
          </w:p>
        </w:tc>
        <w:tc>
          <w:tcPr>
            <w:tcW w:w="1701"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ind w:right="-170"/>
              <w:rPr>
                <w:lang w:val="en-US"/>
              </w:rPr>
            </w:pPr>
            <w:r w:rsidRPr="0075184C">
              <w:rPr>
                <w:rFonts w:cs="Arial"/>
                <w:sz w:val="20"/>
                <w:szCs w:val="20"/>
                <w:lang w:val="en-US"/>
              </w:rPr>
              <w:t>Total of both in % (7.1.A + 7.1.B)</w:t>
            </w:r>
          </w:p>
        </w:tc>
        <w:tc>
          <w:tcPr>
            <w:tcW w:w="1814" w:type="dxa"/>
            <w:tcBorders>
              <w:top w:val="single" w:sz="4" w:space="0" w:color="auto"/>
              <w:left w:val="single" w:sz="4" w:space="0" w:color="auto"/>
              <w:bottom w:val="single" w:sz="4" w:space="0" w:color="auto"/>
            </w:tcBorders>
            <w:vAlign w:val="center"/>
          </w:tcPr>
          <w:p w:rsidR="0075184C" w:rsidRPr="0075184C" w:rsidRDefault="0075184C" w:rsidP="00D276DC">
            <w:pPr>
              <w:rPr>
                <w:lang w:val="en-US"/>
              </w:rPr>
            </w:pPr>
            <w:r w:rsidRPr="0075184C">
              <w:rPr>
                <w:rFonts w:cs="Arial"/>
                <w:sz w:val="20"/>
                <w:szCs w:val="20"/>
                <w:lang w:val="en-US"/>
              </w:rPr>
              <w:t>Total number of voting rights of issuer</w:t>
            </w:r>
            <w:r>
              <w:rPr>
                <w:rStyle w:val="Slutnotehenvisning"/>
                <w:sz w:val="20"/>
                <w:szCs w:val="20"/>
              </w:rPr>
              <w:endnoteReference w:id="6"/>
            </w:r>
          </w:p>
        </w:tc>
      </w:tr>
      <w:tr w:rsidR="0075184C" w:rsidRPr="004F1FC0" w:rsidTr="00D276DC">
        <w:trPr>
          <w:trHeight w:val="99"/>
          <w:jc w:val="center"/>
        </w:trPr>
        <w:tc>
          <w:tcPr>
            <w:tcW w:w="2344" w:type="dxa"/>
            <w:tcBorders>
              <w:top w:val="single" w:sz="4" w:space="0" w:color="auto"/>
              <w:bottom w:val="single" w:sz="4" w:space="0" w:color="auto"/>
              <w:right w:val="single" w:sz="4" w:space="0" w:color="auto"/>
            </w:tcBorders>
            <w:vAlign w:val="center"/>
          </w:tcPr>
          <w:p w:rsidR="0075184C" w:rsidRPr="0075184C" w:rsidRDefault="0075184C" w:rsidP="00D276DC">
            <w:pPr>
              <w:rPr>
                <w:lang w:val="en-US"/>
              </w:rPr>
            </w:pPr>
            <w:r w:rsidRPr="0075184C">
              <w:rPr>
                <w:rFonts w:cs="Arial"/>
                <w:sz w:val="20"/>
                <w:szCs w:val="20"/>
                <w:lang w:val="en-US"/>
              </w:rPr>
              <w:t>Resulting situation on the date on which threshold was crossed or reached</w:t>
            </w:r>
          </w:p>
        </w:tc>
        <w:tc>
          <w:tcPr>
            <w:tcW w:w="2249"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2552"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1701"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1814" w:type="dxa"/>
            <w:tcBorders>
              <w:top w:val="single" w:sz="4" w:space="0" w:color="auto"/>
              <w:left w:val="single" w:sz="4" w:space="0" w:color="auto"/>
              <w:bottom w:val="single" w:sz="4" w:space="0" w:color="auto"/>
            </w:tcBorders>
          </w:tcPr>
          <w:p w:rsidR="0075184C" w:rsidRPr="0075184C" w:rsidRDefault="0075184C" w:rsidP="00D276DC">
            <w:pPr>
              <w:rPr>
                <w:lang w:val="en-US"/>
              </w:rPr>
            </w:pPr>
          </w:p>
        </w:tc>
      </w:tr>
      <w:tr w:rsidR="0075184C" w:rsidRPr="004F1FC0" w:rsidTr="00D276DC">
        <w:trPr>
          <w:trHeight w:val="99"/>
          <w:jc w:val="center"/>
        </w:trPr>
        <w:tc>
          <w:tcPr>
            <w:tcW w:w="2344" w:type="dxa"/>
            <w:tcBorders>
              <w:top w:val="single" w:sz="4" w:space="0" w:color="auto"/>
              <w:bottom w:val="single" w:sz="4" w:space="0" w:color="auto"/>
              <w:right w:val="single" w:sz="4" w:space="0" w:color="auto"/>
            </w:tcBorders>
            <w:vAlign w:val="center"/>
          </w:tcPr>
          <w:p w:rsidR="0075184C" w:rsidRPr="0075184C" w:rsidRDefault="0075184C" w:rsidP="00D276DC">
            <w:pPr>
              <w:rPr>
                <w:rFonts w:cs="Arial"/>
                <w:sz w:val="20"/>
                <w:szCs w:val="20"/>
                <w:lang w:val="en-US"/>
              </w:rPr>
            </w:pPr>
            <w:r w:rsidRPr="0075184C">
              <w:rPr>
                <w:rFonts w:cs="Arial"/>
                <w:sz w:val="20"/>
                <w:szCs w:val="20"/>
                <w:lang w:val="en-US"/>
              </w:rPr>
              <w:t xml:space="preserve">Position of previous notification </w:t>
            </w:r>
          </w:p>
          <w:p w:rsidR="0075184C" w:rsidRPr="0075184C" w:rsidRDefault="0075184C" w:rsidP="00D276DC">
            <w:pPr>
              <w:rPr>
                <w:lang w:val="en-US"/>
              </w:rPr>
            </w:pPr>
            <w:r w:rsidRPr="0075184C">
              <w:rPr>
                <w:rFonts w:cs="Arial"/>
                <w:sz w:val="20"/>
                <w:szCs w:val="20"/>
                <w:lang w:val="en-US"/>
              </w:rPr>
              <w:t>(if applicable)</w:t>
            </w:r>
          </w:p>
        </w:tc>
        <w:tc>
          <w:tcPr>
            <w:tcW w:w="2249"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lang w:val="en-US"/>
              </w:rPr>
            </w:pPr>
          </w:p>
        </w:tc>
        <w:tc>
          <w:tcPr>
            <w:tcW w:w="2552"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lang w:val="en-US"/>
              </w:rPr>
            </w:pPr>
          </w:p>
        </w:tc>
        <w:tc>
          <w:tcPr>
            <w:tcW w:w="1814" w:type="dxa"/>
            <w:tcBorders>
              <w:top w:val="single" w:sz="4" w:space="0" w:color="auto"/>
              <w:left w:val="single" w:sz="4" w:space="0" w:color="auto"/>
              <w:bottom w:val="single" w:sz="4" w:space="0" w:color="auto"/>
            </w:tcBorders>
            <w:shd w:val="pct40" w:color="auto" w:fill="auto"/>
            <w:vAlign w:val="center"/>
          </w:tcPr>
          <w:p w:rsidR="0075184C" w:rsidRPr="0075184C" w:rsidRDefault="0075184C" w:rsidP="00D276DC">
            <w:pPr>
              <w:rPr>
                <w:lang w:val="en-US"/>
              </w:rPr>
            </w:pPr>
          </w:p>
        </w:tc>
      </w:tr>
      <w:tr w:rsidR="0075184C" w:rsidRPr="006D2727" w:rsidTr="0075184C">
        <w:trPr>
          <w:trHeight w:val="421"/>
          <w:jc w:val="center"/>
        </w:trPr>
        <w:tc>
          <w:tcPr>
            <w:tcW w:w="10660" w:type="dxa"/>
            <w:gridSpan w:val="5"/>
            <w:tcBorders>
              <w:top w:val="single" w:sz="4" w:space="0" w:color="auto"/>
              <w:bottom w:val="single" w:sz="4" w:space="0" w:color="auto"/>
            </w:tcBorders>
            <w:vAlign w:val="center"/>
          </w:tcPr>
          <w:p w:rsidR="0075184C" w:rsidRPr="004B3A93" w:rsidRDefault="0075184C" w:rsidP="0075184C">
            <w:pPr>
              <w:spacing w:line="240" w:lineRule="exact"/>
              <w:jc w:val="center"/>
              <w:rPr>
                <w:b/>
              </w:rPr>
            </w:pPr>
            <w:proofErr w:type="spellStart"/>
            <w:r w:rsidRPr="004B3A93">
              <w:rPr>
                <w:rFonts w:cs="Arial"/>
                <w:b/>
              </w:rPr>
              <w:t>Share</w:t>
            </w:r>
            <w:proofErr w:type="spellEnd"/>
            <w:r w:rsidRPr="004B3A93">
              <w:rPr>
                <w:rFonts w:cs="Arial"/>
                <w:b/>
              </w:rPr>
              <w:t xml:space="preserve"> </w:t>
            </w:r>
            <w:proofErr w:type="spellStart"/>
            <w:r w:rsidRPr="004B3A93">
              <w:rPr>
                <w:rFonts w:cs="Arial"/>
                <w:b/>
              </w:rPr>
              <w:t>capital</w:t>
            </w:r>
            <w:proofErr w:type="spellEnd"/>
            <w:r w:rsidRPr="004B3A93">
              <w:rPr>
                <w:rFonts w:cs="Arial"/>
                <w:b/>
              </w:rPr>
              <w:t>:</w:t>
            </w:r>
          </w:p>
        </w:tc>
      </w:tr>
      <w:tr w:rsidR="0075184C" w:rsidRPr="004F1FC0" w:rsidTr="00D276DC">
        <w:trPr>
          <w:trHeight w:val="101"/>
          <w:jc w:val="center"/>
        </w:trPr>
        <w:tc>
          <w:tcPr>
            <w:tcW w:w="2344" w:type="dxa"/>
            <w:tcBorders>
              <w:top w:val="single" w:sz="4" w:space="0" w:color="auto"/>
              <w:bottom w:val="single" w:sz="4" w:space="0" w:color="auto"/>
              <w:right w:val="single" w:sz="4" w:space="0" w:color="auto"/>
            </w:tcBorders>
            <w:vAlign w:val="center"/>
          </w:tcPr>
          <w:p w:rsidR="0075184C" w:rsidRPr="006D2727" w:rsidRDefault="0075184C" w:rsidP="00D276DC"/>
        </w:tc>
        <w:tc>
          <w:tcPr>
            <w:tcW w:w="2249"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rFonts w:cs="Arial"/>
                <w:sz w:val="20"/>
                <w:szCs w:val="20"/>
                <w:lang w:val="en-US"/>
              </w:rPr>
            </w:pPr>
            <w:r w:rsidRPr="0075184C">
              <w:rPr>
                <w:rFonts w:cs="Arial"/>
                <w:sz w:val="20"/>
                <w:szCs w:val="20"/>
                <w:lang w:val="en-US"/>
              </w:rPr>
              <w:t>Share capital attached to shares in %</w:t>
            </w:r>
          </w:p>
          <w:p w:rsidR="0075184C" w:rsidRPr="006D2727" w:rsidRDefault="0075184C" w:rsidP="00D276DC">
            <w:r w:rsidRPr="006D2727">
              <w:rPr>
                <w:rFonts w:cs="Arial"/>
                <w:sz w:val="20"/>
                <w:szCs w:val="20"/>
              </w:rPr>
              <w:t xml:space="preserve">(total of </w:t>
            </w:r>
            <w:r>
              <w:rPr>
                <w:rFonts w:cs="Arial"/>
                <w:sz w:val="20"/>
                <w:szCs w:val="20"/>
              </w:rPr>
              <w:t>7.2</w:t>
            </w:r>
            <w:r w:rsidRPr="006D2727">
              <w:rPr>
                <w:rFonts w:cs="Arial"/>
                <w:sz w:val="20"/>
                <w:szCs w:val="20"/>
              </w:rPr>
              <w:t>.A)</w:t>
            </w:r>
          </w:p>
        </w:tc>
        <w:tc>
          <w:tcPr>
            <w:tcW w:w="2552"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rFonts w:cs="Arial"/>
                <w:sz w:val="20"/>
                <w:szCs w:val="20"/>
                <w:lang w:val="en-US"/>
              </w:rPr>
            </w:pPr>
            <w:r w:rsidRPr="0075184C">
              <w:rPr>
                <w:rFonts w:cs="Arial"/>
                <w:sz w:val="20"/>
                <w:szCs w:val="20"/>
                <w:lang w:val="en-US"/>
              </w:rPr>
              <w:t>Share capital</w:t>
            </w:r>
            <w:r w:rsidRPr="0075184C">
              <w:rPr>
                <w:rFonts w:cs="Arial"/>
                <w:sz w:val="20"/>
                <w:lang w:val="en-US"/>
              </w:rPr>
              <w:t xml:space="preserve"> through </w:t>
            </w:r>
            <w:r w:rsidRPr="0075184C">
              <w:rPr>
                <w:rFonts w:cs="Arial"/>
                <w:sz w:val="20"/>
                <w:szCs w:val="20"/>
                <w:lang w:val="en-US"/>
              </w:rPr>
              <w:t>financial instruments in %</w:t>
            </w:r>
          </w:p>
          <w:p w:rsidR="0075184C" w:rsidRPr="006D2727" w:rsidRDefault="0075184C" w:rsidP="00D276DC">
            <w:r>
              <w:rPr>
                <w:rFonts w:cs="Arial"/>
                <w:sz w:val="20"/>
                <w:szCs w:val="20"/>
              </w:rPr>
              <w:t>(total of 7.2</w:t>
            </w:r>
            <w:r w:rsidRPr="006D2727">
              <w:rPr>
                <w:rFonts w:cs="Arial"/>
                <w:sz w:val="20"/>
                <w:szCs w:val="20"/>
              </w:rPr>
              <w:t>.B</w:t>
            </w:r>
            <w:r>
              <w:rPr>
                <w:rFonts w:cs="Arial"/>
                <w:sz w:val="20"/>
                <w:szCs w:val="20"/>
              </w:rPr>
              <w:t>.</w:t>
            </w:r>
            <w:r w:rsidRPr="006D2727">
              <w:rPr>
                <w:rFonts w:cs="Arial"/>
                <w:sz w:val="20"/>
                <w:szCs w:val="20"/>
              </w:rPr>
              <w:t xml:space="preserve">1 + </w:t>
            </w:r>
            <w:r>
              <w:rPr>
                <w:rFonts w:cs="Arial"/>
                <w:sz w:val="20"/>
                <w:szCs w:val="20"/>
              </w:rPr>
              <w:t>7.2.</w:t>
            </w:r>
            <w:r w:rsidRPr="006D2727">
              <w:rPr>
                <w:rFonts w:cs="Arial"/>
                <w:sz w:val="20"/>
                <w:szCs w:val="20"/>
              </w:rPr>
              <w:t>B</w:t>
            </w:r>
            <w:r>
              <w:rPr>
                <w:rFonts w:cs="Arial"/>
                <w:sz w:val="20"/>
                <w:szCs w:val="20"/>
              </w:rPr>
              <w:t>.</w:t>
            </w:r>
            <w:r w:rsidRPr="006D2727">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ind w:right="-170"/>
              <w:rPr>
                <w:lang w:val="en-US"/>
              </w:rPr>
            </w:pPr>
            <w:r w:rsidRPr="0075184C">
              <w:rPr>
                <w:rFonts w:cs="Arial"/>
                <w:sz w:val="20"/>
                <w:szCs w:val="20"/>
                <w:lang w:val="en-US"/>
              </w:rPr>
              <w:t>Total of both in % (7.2.A + 7.2.B)</w:t>
            </w:r>
          </w:p>
        </w:tc>
        <w:tc>
          <w:tcPr>
            <w:tcW w:w="1814" w:type="dxa"/>
            <w:tcBorders>
              <w:top w:val="single" w:sz="4" w:space="0" w:color="auto"/>
              <w:left w:val="single" w:sz="4" w:space="0" w:color="auto"/>
              <w:bottom w:val="single" w:sz="4" w:space="0" w:color="auto"/>
            </w:tcBorders>
            <w:vAlign w:val="center"/>
          </w:tcPr>
          <w:p w:rsidR="0075184C" w:rsidRPr="0075184C" w:rsidRDefault="0075184C" w:rsidP="00D276DC">
            <w:pPr>
              <w:rPr>
                <w:lang w:val="en-US"/>
              </w:rPr>
            </w:pPr>
            <w:r w:rsidRPr="0075184C">
              <w:rPr>
                <w:rFonts w:cs="Arial"/>
                <w:sz w:val="20"/>
                <w:szCs w:val="20"/>
                <w:lang w:val="en-US"/>
              </w:rPr>
              <w:t xml:space="preserve">Total share capital in </w:t>
            </w:r>
            <w:proofErr w:type="spellStart"/>
            <w:r w:rsidRPr="0075184C">
              <w:rPr>
                <w:rFonts w:cs="Arial"/>
                <w:sz w:val="20"/>
                <w:szCs w:val="20"/>
                <w:lang w:val="en-US"/>
              </w:rPr>
              <w:t>issuer</w:t>
            </w:r>
            <w:r w:rsidRPr="0075184C">
              <w:rPr>
                <w:rFonts w:cs="Arial"/>
                <w:sz w:val="20"/>
                <w:szCs w:val="20"/>
                <w:vertAlign w:val="superscript"/>
                <w:lang w:val="en-US"/>
              </w:rPr>
              <w:t>vi</w:t>
            </w:r>
            <w:proofErr w:type="spellEnd"/>
          </w:p>
        </w:tc>
      </w:tr>
      <w:tr w:rsidR="0075184C" w:rsidRPr="004F1FC0" w:rsidTr="00D276DC">
        <w:trPr>
          <w:trHeight w:val="99"/>
          <w:jc w:val="center"/>
        </w:trPr>
        <w:tc>
          <w:tcPr>
            <w:tcW w:w="2344" w:type="dxa"/>
            <w:tcBorders>
              <w:top w:val="single" w:sz="4" w:space="0" w:color="auto"/>
              <w:bottom w:val="single" w:sz="4" w:space="0" w:color="auto"/>
              <w:right w:val="single" w:sz="4" w:space="0" w:color="auto"/>
            </w:tcBorders>
            <w:vAlign w:val="center"/>
          </w:tcPr>
          <w:p w:rsidR="0075184C" w:rsidRPr="0075184C" w:rsidRDefault="0075184C" w:rsidP="00D276DC">
            <w:pPr>
              <w:rPr>
                <w:lang w:val="en-US"/>
              </w:rPr>
            </w:pPr>
            <w:r w:rsidRPr="0075184C">
              <w:rPr>
                <w:rFonts w:cs="Arial"/>
                <w:sz w:val="20"/>
                <w:szCs w:val="20"/>
                <w:lang w:val="en-US"/>
              </w:rPr>
              <w:t>Resulting situation on the date on which threshold was crossed or reached</w:t>
            </w:r>
          </w:p>
        </w:tc>
        <w:tc>
          <w:tcPr>
            <w:tcW w:w="2249"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2552"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1701"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1814" w:type="dxa"/>
            <w:tcBorders>
              <w:top w:val="single" w:sz="4" w:space="0" w:color="auto"/>
              <w:left w:val="single" w:sz="4" w:space="0" w:color="auto"/>
              <w:bottom w:val="single" w:sz="4" w:space="0" w:color="auto"/>
            </w:tcBorders>
          </w:tcPr>
          <w:p w:rsidR="0075184C" w:rsidRPr="0075184C" w:rsidRDefault="0075184C" w:rsidP="00D276DC">
            <w:pPr>
              <w:rPr>
                <w:lang w:val="en-US"/>
              </w:rPr>
            </w:pPr>
          </w:p>
        </w:tc>
      </w:tr>
      <w:tr w:rsidR="0075184C" w:rsidRPr="004F1FC0" w:rsidTr="00D276DC">
        <w:trPr>
          <w:trHeight w:val="99"/>
          <w:jc w:val="center"/>
        </w:trPr>
        <w:tc>
          <w:tcPr>
            <w:tcW w:w="2344" w:type="dxa"/>
            <w:tcBorders>
              <w:top w:val="single" w:sz="4" w:space="0" w:color="auto"/>
              <w:bottom w:val="single" w:sz="4" w:space="0" w:color="auto"/>
              <w:right w:val="single" w:sz="4" w:space="0" w:color="auto"/>
            </w:tcBorders>
            <w:vAlign w:val="center"/>
          </w:tcPr>
          <w:p w:rsidR="0075184C" w:rsidRPr="0075184C" w:rsidRDefault="0075184C" w:rsidP="00D276DC">
            <w:pPr>
              <w:rPr>
                <w:lang w:val="en-US"/>
              </w:rPr>
            </w:pPr>
            <w:r w:rsidRPr="0075184C">
              <w:rPr>
                <w:rFonts w:cs="Arial"/>
                <w:sz w:val="20"/>
                <w:szCs w:val="20"/>
                <w:lang w:val="en-US"/>
              </w:rPr>
              <w:t>Position of previous notification (if applicable)</w:t>
            </w:r>
          </w:p>
        </w:tc>
        <w:tc>
          <w:tcPr>
            <w:tcW w:w="2249"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2552"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1701" w:type="dxa"/>
            <w:tcBorders>
              <w:top w:val="single" w:sz="4" w:space="0" w:color="auto"/>
              <w:left w:val="single" w:sz="4" w:space="0" w:color="auto"/>
              <w:bottom w:val="single" w:sz="4" w:space="0" w:color="auto"/>
              <w:right w:val="single" w:sz="4" w:space="0" w:color="auto"/>
            </w:tcBorders>
          </w:tcPr>
          <w:p w:rsidR="0075184C" w:rsidRPr="0075184C" w:rsidRDefault="0075184C" w:rsidP="00D276DC">
            <w:pPr>
              <w:rPr>
                <w:lang w:val="en-US"/>
              </w:rPr>
            </w:pPr>
          </w:p>
        </w:tc>
        <w:tc>
          <w:tcPr>
            <w:tcW w:w="1814" w:type="dxa"/>
            <w:tcBorders>
              <w:top w:val="single" w:sz="4" w:space="0" w:color="auto"/>
              <w:left w:val="single" w:sz="4" w:space="0" w:color="auto"/>
              <w:bottom w:val="single" w:sz="4" w:space="0" w:color="auto"/>
            </w:tcBorders>
            <w:shd w:val="pct40" w:color="auto" w:fill="auto"/>
          </w:tcPr>
          <w:p w:rsidR="0075184C" w:rsidRPr="0075184C" w:rsidRDefault="0075184C" w:rsidP="00D276DC">
            <w:pPr>
              <w:rPr>
                <w:lang w:val="en-US"/>
              </w:rPr>
            </w:pPr>
          </w:p>
        </w:tc>
      </w:tr>
    </w:tbl>
    <w:p w:rsidR="0075184C" w:rsidRPr="0075184C" w:rsidRDefault="0075184C" w:rsidP="0075184C">
      <w:pPr>
        <w:rPr>
          <w:lang w:val="en-US"/>
        </w:rPr>
      </w:pPr>
    </w:p>
    <w:p w:rsidR="0075184C" w:rsidRPr="0075184C" w:rsidRDefault="0075184C" w:rsidP="0075184C">
      <w:pPr>
        <w:rPr>
          <w:lang w:val="en-US"/>
        </w:rPr>
      </w:pPr>
    </w:p>
    <w:p w:rsidR="0075184C" w:rsidRPr="0075184C" w:rsidRDefault="0075184C" w:rsidP="0075184C">
      <w:pPr>
        <w:rPr>
          <w:lang w:val="en-US"/>
        </w:rPr>
      </w:pPr>
    </w:p>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5"/>
        <w:gridCol w:w="118"/>
        <w:gridCol w:w="1300"/>
        <w:gridCol w:w="202"/>
        <w:gridCol w:w="648"/>
        <w:gridCol w:w="1276"/>
        <w:gridCol w:w="850"/>
        <w:gridCol w:w="896"/>
        <w:gridCol w:w="1231"/>
        <w:gridCol w:w="567"/>
        <w:gridCol w:w="1706"/>
      </w:tblGrid>
      <w:tr w:rsidR="0075184C" w:rsidRPr="004F1FC0" w:rsidTr="00D276DC">
        <w:trPr>
          <w:trHeight w:val="326"/>
          <w:jc w:val="center"/>
        </w:trPr>
        <w:tc>
          <w:tcPr>
            <w:tcW w:w="10729" w:type="dxa"/>
            <w:gridSpan w:val="11"/>
            <w:tcBorders>
              <w:top w:val="single" w:sz="4" w:space="0" w:color="auto"/>
              <w:bottom w:val="single" w:sz="4" w:space="0" w:color="auto"/>
            </w:tcBorders>
          </w:tcPr>
          <w:p w:rsidR="0075184C" w:rsidRPr="0075184C" w:rsidRDefault="0075184C" w:rsidP="00D276DC">
            <w:pPr>
              <w:rPr>
                <w:lang w:val="en-US"/>
              </w:rPr>
            </w:pPr>
            <w:r w:rsidRPr="0075184C">
              <w:rPr>
                <w:lang w:val="en-US"/>
              </w:rPr>
              <w:br w:type="page"/>
            </w:r>
            <w:r w:rsidRPr="0075184C">
              <w:rPr>
                <w:lang w:val="en-US"/>
              </w:rPr>
              <w:br w:type="page"/>
            </w:r>
            <w:r w:rsidRPr="0075184C">
              <w:rPr>
                <w:rFonts w:cs="Arial"/>
                <w:b/>
                <w:lang w:val="en-US"/>
              </w:rPr>
              <w:t>7.1. Notified details of the resulting situation on the date on which the threshold was crossed or reached:</w:t>
            </w:r>
          </w:p>
        </w:tc>
      </w:tr>
      <w:tr w:rsidR="0075184C" w:rsidRPr="004F1FC0" w:rsidTr="00D276DC">
        <w:trPr>
          <w:trHeight w:val="458"/>
          <w:jc w:val="center"/>
        </w:trPr>
        <w:tc>
          <w:tcPr>
            <w:tcW w:w="10729" w:type="dxa"/>
            <w:gridSpan w:val="11"/>
            <w:tcBorders>
              <w:top w:val="single" w:sz="4" w:space="0" w:color="auto"/>
              <w:bottom w:val="single" w:sz="4" w:space="0" w:color="auto"/>
            </w:tcBorders>
            <w:vAlign w:val="center"/>
          </w:tcPr>
          <w:p w:rsidR="0075184C" w:rsidRPr="0075184C" w:rsidRDefault="0075184C" w:rsidP="00D276DC">
            <w:pPr>
              <w:rPr>
                <w:rFonts w:cs="Arial"/>
                <w:b/>
                <w:i/>
                <w:lang w:val="en-US"/>
              </w:rPr>
            </w:pPr>
            <w:r w:rsidRPr="0075184C">
              <w:rPr>
                <w:rFonts w:cs="Arial"/>
                <w:b/>
                <w:i/>
                <w:sz w:val="20"/>
                <w:lang w:val="en-US"/>
              </w:rPr>
              <w:t>7.1.A: Voting rights attached to shares</w:t>
            </w:r>
          </w:p>
        </w:tc>
      </w:tr>
      <w:tr w:rsidR="0075184C" w:rsidRPr="006D2727" w:rsidTr="00D276DC">
        <w:trPr>
          <w:trHeight w:val="386"/>
          <w:jc w:val="center"/>
        </w:trPr>
        <w:tc>
          <w:tcPr>
            <w:tcW w:w="2053" w:type="dxa"/>
            <w:gridSpan w:val="2"/>
            <w:vMerge w:val="restart"/>
            <w:tcBorders>
              <w:top w:val="single" w:sz="4" w:space="0" w:color="auto"/>
              <w:bottom w:val="single" w:sz="4" w:space="0" w:color="auto"/>
              <w:right w:val="single" w:sz="4" w:space="0" w:color="auto"/>
            </w:tcBorders>
          </w:tcPr>
          <w:p w:rsidR="0075184C" w:rsidRPr="0075184C" w:rsidRDefault="0075184C" w:rsidP="00D276DC">
            <w:pPr>
              <w:rPr>
                <w:rFonts w:cs="Arial"/>
                <w:b/>
                <w:sz w:val="20"/>
                <w:szCs w:val="20"/>
                <w:lang w:val="en-US"/>
              </w:rPr>
            </w:pPr>
            <w:r w:rsidRPr="0075184C">
              <w:rPr>
                <w:rFonts w:cs="Arial"/>
                <w:b/>
                <w:sz w:val="20"/>
                <w:szCs w:val="20"/>
                <w:lang w:val="en-US"/>
              </w:rPr>
              <w:t>Class/type of</w:t>
            </w:r>
            <w:r w:rsidRPr="0075184C">
              <w:rPr>
                <w:rFonts w:cs="Arial"/>
                <w:b/>
                <w:sz w:val="20"/>
                <w:szCs w:val="20"/>
                <w:lang w:val="en-US"/>
              </w:rPr>
              <w:br/>
              <w:t>shares</w:t>
            </w:r>
          </w:p>
          <w:p w:rsidR="0075184C" w:rsidRPr="0075184C" w:rsidRDefault="0075184C" w:rsidP="00D276DC">
            <w:pPr>
              <w:rPr>
                <w:rFonts w:cs="Arial"/>
                <w:sz w:val="20"/>
                <w:szCs w:val="20"/>
                <w:lang w:val="en-US"/>
              </w:rPr>
            </w:pPr>
            <w:r w:rsidRPr="0075184C">
              <w:rPr>
                <w:rFonts w:cs="Arial"/>
                <w:sz w:val="20"/>
                <w:szCs w:val="20"/>
                <w:lang w:val="en-US"/>
              </w:rPr>
              <w:t>ISIN code (if possible)</w:t>
            </w:r>
          </w:p>
        </w:tc>
        <w:tc>
          <w:tcPr>
            <w:tcW w:w="4276" w:type="dxa"/>
            <w:gridSpan w:val="5"/>
            <w:tcBorders>
              <w:top w:val="single" w:sz="4" w:space="0" w:color="auto"/>
              <w:lef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Number</w:t>
            </w:r>
            <w:proofErr w:type="spellEnd"/>
            <w:r w:rsidRPr="006D2727">
              <w:rPr>
                <w:rFonts w:cs="Arial"/>
                <w:b/>
                <w:sz w:val="20"/>
                <w:szCs w:val="20"/>
              </w:rPr>
              <w:t xml:space="preserve"> of </w:t>
            </w:r>
            <w:proofErr w:type="spellStart"/>
            <w:r w:rsidRPr="006D2727">
              <w:rPr>
                <w:rFonts w:cs="Arial"/>
                <w:b/>
                <w:sz w:val="20"/>
                <w:szCs w:val="20"/>
              </w:rPr>
              <w:t>voting</w:t>
            </w:r>
            <w:proofErr w:type="spellEnd"/>
            <w:r w:rsidRPr="006D2727">
              <w:rPr>
                <w:rFonts w:cs="Arial"/>
                <w:b/>
                <w:sz w:val="20"/>
                <w:szCs w:val="20"/>
              </w:rPr>
              <w:t xml:space="preserve"> </w:t>
            </w:r>
            <w:proofErr w:type="spellStart"/>
            <w:r w:rsidRPr="006D2727">
              <w:rPr>
                <w:rFonts w:cs="Arial"/>
                <w:b/>
                <w:sz w:val="20"/>
                <w:szCs w:val="20"/>
              </w:rPr>
              <w:t>rights</w:t>
            </w:r>
            <w:proofErr w:type="spellEnd"/>
            <w:r w:rsidRPr="003F3252">
              <w:rPr>
                <w:rStyle w:val="Slutnotehenvisning"/>
                <w:sz w:val="20"/>
                <w:szCs w:val="20"/>
              </w:rPr>
              <w:endnoteReference w:id="7"/>
            </w:r>
          </w:p>
        </w:tc>
        <w:tc>
          <w:tcPr>
            <w:tcW w:w="4400" w:type="dxa"/>
            <w:gridSpan w:val="4"/>
            <w:tcBorders>
              <w:top w:val="single" w:sz="4" w:space="0" w:color="auto"/>
              <w:left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 of </w:t>
            </w:r>
            <w:proofErr w:type="spellStart"/>
            <w:r w:rsidRPr="006D2727">
              <w:rPr>
                <w:rFonts w:cs="Arial"/>
                <w:b/>
                <w:sz w:val="20"/>
                <w:szCs w:val="20"/>
              </w:rPr>
              <w:t>voting</w:t>
            </w:r>
            <w:proofErr w:type="spellEnd"/>
            <w:r w:rsidRPr="006D2727">
              <w:rPr>
                <w:rFonts w:cs="Arial"/>
                <w:b/>
                <w:sz w:val="20"/>
                <w:szCs w:val="20"/>
              </w:rPr>
              <w:t xml:space="preserve"> </w:t>
            </w:r>
            <w:proofErr w:type="spellStart"/>
            <w:r w:rsidRPr="006D2727">
              <w:rPr>
                <w:rFonts w:cs="Arial"/>
                <w:b/>
                <w:sz w:val="20"/>
                <w:szCs w:val="20"/>
              </w:rPr>
              <w:t>rights</w:t>
            </w:r>
            <w:proofErr w:type="spellEnd"/>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rsidR="0075184C" w:rsidRPr="006D2727" w:rsidRDefault="0075184C" w:rsidP="00D276DC">
            <w:pPr>
              <w:rPr>
                <w:sz w:val="20"/>
                <w:szCs w:val="20"/>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cs="Arial"/>
                <w:b/>
                <w:sz w:val="20"/>
                <w:szCs w:val="20"/>
                <w:lang w:val="en-US"/>
              </w:rPr>
            </w:pPr>
            <w:r w:rsidRPr="0075184C">
              <w:rPr>
                <w:rFonts w:cs="Arial"/>
                <w:b/>
                <w:sz w:val="20"/>
                <w:szCs w:val="20"/>
                <w:lang w:val="en-US"/>
              </w:rPr>
              <w:t>Direct</w:t>
            </w:r>
          </w:p>
          <w:p w:rsidR="0075184C" w:rsidRPr="006D2727" w:rsidRDefault="0075184C" w:rsidP="00D276DC">
            <w:pPr>
              <w:jc w:val="center"/>
              <w:rPr>
                <w:rFonts w:cs="Arial"/>
                <w:sz w:val="16"/>
                <w:szCs w:val="16"/>
              </w:rPr>
            </w:pPr>
            <w:r w:rsidRPr="0075184C">
              <w:rPr>
                <w:rFonts w:cs="Arial"/>
                <w:sz w:val="16"/>
                <w:szCs w:val="16"/>
                <w:lang w:val="en-US"/>
              </w:rPr>
              <w:t xml:space="preserve">(Sect. 29 (1) of Securities Trading, etc. </w:t>
            </w:r>
            <w:r w:rsidRPr="00D95BE1">
              <w:rPr>
                <w:rFonts w:cs="Arial"/>
                <w:sz w:val="16"/>
                <w:szCs w:val="16"/>
              </w:rPr>
              <w:t>Act)</w:t>
            </w:r>
          </w:p>
        </w:tc>
        <w:tc>
          <w:tcPr>
            <w:tcW w:w="2126" w:type="dxa"/>
            <w:gridSpan w:val="2"/>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ascii="TimesNewRomanPSMT" w:hAnsi="TimesNewRomanPSMT" w:cs="TimesNewRomanPSMT"/>
                <w:sz w:val="16"/>
                <w:szCs w:val="16"/>
                <w:lang w:val="en-US" w:eastAsia="fr-FR"/>
              </w:rPr>
            </w:pPr>
            <w:r w:rsidRPr="0075184C">
              <w:rPr>
                <w:rFonts w:cs="Arial"/>
                <w:b/>
                <w:sz w:val="20"/>
                <w:szCs w:val="20"/>
                <w:lang w:val="en-US"/>
              </w:rPr>
              <w:t>Indirect</w:t>
            </w:r>
          </w:p>
          <w:p w:rsidR="0075184C" w:rsidRPr="006D2727" w:rsidRDefault="0075184C" w:rsidP="00D276DC">
            <w:pPr>
              <w:jc w:val="center"/>
              <w:rPr>
                <w:rFonts w:cs="Arial"/>
                <w:b/>
                <w:sz w:val="20"/>
                <w:szCs w:val="20"/>
              </w:rPr>
            </w:pPr>
            <w:r w:rsidRPr="0075184C">
              <w:rPr>
                <w:rFonts w:cs="Arial"/>
                <w:sz w:val="16"/>
                <w:szCs w:val="16"/>
                <w:lang w:val="en-US"/>
              </w:rPr>
              <w:t xml:space="preserve">(Sect. 29 (3) of Securities Trading, etc. </w:t>
            </w:r>
            <w:r w:rsidRPr="00D95BE1">
              <w:rPr>
                <w:rFonts w:cs="Arial"/>
                <w:sz w:val="16"/>
                <w:szCs w:val="16"/>
              </w:rPr>
              <w:t>Act)</w:t>
            </w:r>
          </w:p>
        </w:tc>
        <w:tc>
          <w:tcPr>
            <w:tcW w:w="2127" w:type="dxa"/>
            <w:gridSpan w:val="2"/>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cs="Arial"/>
                <w:b/>
                <w:sz w:val="20"/>
                <w:szCs w:val="20"/>
                <w:lang w:val="en-US"/>
              </w:rPr>
            </w:pPr>
            <w:r w:rsidRPr="0075184C">
              <w:rPr>
                <w:rFonts w:cs="Arial"/>
                <w:b/>
                <w:sz w:val="20"/>
                <w:szCs w:val="20"/>
                <w:lang w:val="en-US"/>
              </w:rPr>
              <w:t>Direct</w:t>
            </w:r>
          </w:p>
          <w:p w:rsidR="0075184C" w:rsidRPr="006D2727" w:rsidRDefault="0075184C" w:rsidP="00D276DC">
            <w:pPr>
              <w:jc w:val="center"/>
              <w:rPr>
                <w:rFonts w:cs="Arial"/>
                <w:b/>
                <w:sz w:val="20"/>
                <w:szCs w:val="20"/>
              </w:rPr>
            </w:pPr>
            <w:r w:rsidRPr="0075184C">
              <w:rPr>
                <w:rFonts w:cs="Arial"/>
                <w:sz w:val="16"/>
                <w:szCs w:val="16"/>
                <w:lang w:val="en-US"/>
              </w:rPr>
              <w:t xml:space="preserve">(Sect. 29 (1) of Securities Trading, etc. </w:t>
            </w:r>
            <w:r w:rsidRPr="00D95BE1">
              <w:rPr>
                <w:rFonts w:cs="Arial"/>
                <w:sz w:val="16"/>
                <w:szCs w:val="16"/>
              </w:rPr>
              <w:t>Act)</w:t>
            </w:r>
          </w:p>
        </w:tc>
        <w:tc>
          <w:tcPr>
            <w:tcW w:w="2273" w:type="dxa"/>
            <w:gridSpan w:val="2"/>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cs="Arial"/>
                <w:b/>
                <w:sz w:val="20"/>
                <w:szCs w:val="20"/>
                <w:lang w:val="en-US"/>
              </w:rPr>
            </w:pPr>
            <w:r w:rsidRPr="0075184C">
              <w:rPr>
                <w:rFonts w:cs="Arial"/>
                <w:b/>
                <w:sz w:val="20"/>
                <w:szCs w:val="20"/>
                <w:lang w:val="en-US"/>
              </w:rPr>
              <w:t>Indirect</w:t>
            </w:r>
          </w:p>
          <w:p w:rsidR="0075184C" w:rsidRPr="006D2727" w:rsidRDefault="0075184C" w:rsidP="00D276DC">
            <w:pPr>
              <w:jc w:val="center"/>
              <w:rPr>
                <w:rFonts w:cs="Arial"/>
                <w:b/>
                <w:sz w:val="20"/>
                <w:szCs w:val="20"/>
              </w:rPr>
            </w:pPr>
            <w:r w:rsidRPr="0075184C">
              <w:rPr>
                <w:rFonts w:cs="Arial"/>
                <w:sz w:val="16"/>
                <w:szCs w:val="16"/>
                <w:lang w:val="en-US"/>
              </w:rPr>
              <w:t xml:space="preserve">(Sect. 29 (3) of Securities Trading, etc. </w:t>
            </w:r>
            <w:r w:rsidRPr="00D95BE1">
              <w:rPr>
                <w:rFonts w:cs="Arial"/>
                <w:sz w:val="16"/>
                <w:szCs w:val="16"/>
              </w:rPr>
              <w:t>Act)</w:t>
            </w: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27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27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27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b/>
                <w:sz w:val="20"/>
                <w:szCs w:val="20"/>
              </w:rPr>
            </w:pPr>
            <w:r w:rsidRPr="006D2727">
              <w:rPr>
                <w:rFonts w:cs="Arial"/>
                <w:b/>
                <w:sz w:val="20"/>
                <w:szCs w:val="20"/>
              </w:rPr>
              <w:t xml:space="preserve">SUBTOTAL </w:t>
            </w:r>
            <w:r>
              <w:rPr>
                <w:rFonts w:cs="Arial"/>
                <w:b/>
                <w:sz w:val="20"/>
                <w:szCs w:val="20"/>
              </w:rPr>
              <w:t>7.1.</w:t>
            </w:r>
            <w:r w:rsidRPr="006D2727">
              <w:rPr>
                <w:rFonts w:cs="Arial"/>
                <w:b/>
                <w:sz w:val="20"/>
                <w:szCs w:val="20"/>
              </w:rPr>
              <w:t>A</w:t>
            </w:r>
          </w:p>
        </w:tc>
        <w:tc>
          <w:tcPr>
            <w:tcW w:w="2150" w:type="dxa"/>
            <w:gridSpan w:val="3"/>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2126" w:type="dxa"/>
            <w:gridSpan w:val="2"/>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2273" w:type="dxa"/>
            <w:gridSpan w:val="2"/>
            <w:tcBorders>
              <w:top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70"/>
          <w:jc w:val="center"/>
        </w:trPr>
        <w:tc>
          <w:tcPr>
            <w:tcW w:w="10729" w:type="dxa"/>
            <w:gridSpan w:val="11"/>
          </w:tcPr>
          <w:p w:rsidR="0075184C" w:rsidRPr="00E1233C" w:rsidRDefault="0075184C" w:rsidP="00D276DC">
            <w:pPr>
              <w:rPr>
                <w:rFonts w:cs="Arial"/>
                <w:sz w:val="6"/>
                <w:szCs w:val="6"/>
              </w:rPr>
            </w:pPr>
          </w:p>
        </w:tc>
      </w:tr>
      <w:tr w:rsidR="0075184C" w:rsidRPr="006D2727" w:rsidTr="00D276DC">
        <w:trPr>
          <w:trHeight w:val="530"/>
          <w:jc w:val="center"/>
        </w:trPr>
        <w:tc>
          <w:tcPr>
            <w:tcW w:w="10729" w:type="dxa"/>
            <w:gridSpan w:val="11"/>
            <w:tcBorders>
              <w:top w:val="single" w:sz="4" w:space="0" w:color="auto"/>
              <w:bottom w:val="single" w:sz="4" w:space="0" w:color="auto"/>
            </w:tcBorders>
            <w:vAlign w:val="center"/>
          </w:tcPr>
          <w:p w:rsidR="0075184C" w:rsidRPr="00D95BE1" w:rsidRDefault="0075184C" w:rsidP="00D276DC">
            <w:pPr>
              <w:rPr>
                <w:rFonts w:cs="Arial"/>
                <w:b/>
                <w:i/>
                <w:sz w:val="20"/>
              </w:rPr>
            </w:pPr>
            <w:r w:rsidRPr="0075184C">
              <w:rPr>
                <w:rFonts w:cs="Arial"/>
                <w:b/>
                <w:i/>
                <w:sz w:val="20"/>
                <w:lang w:val="en-US"/>
              </w:rPr>
              <w:t xml:space="preserve">7.1.B.1: Financial Instruments according to section 29 (4)(1) of the Securities Trading, etc. </w:t>
            </w:r>
            <w:r w:rsidRPr="00D95BE1">
              <w:rPr>
                <w:rFonts w:cs="Arial"/>
                <w:b/>
                <w:i/>
                <w:sz w:val="20"/>
              </w:rPr>
              <w:t>Act</w:t>
            </w:r>
          </w:p>
        </w:tc>
      </w:tr>
      <w:tr w:rsidR="0075184C" w:rsidRPr="006D2727" w:rsidTr="00D276DC">
        <w:trPr>
          <w:jc w:val="center"/>
        </w:trPr>
        <w:tc>
          <w:tcPr>
            <w:tcW w:w="1935" w:type="dxa"/>
            <w:tcBorders>
              <w:top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Type of </w:t>
            </w:r>
            <w:proofErr w:type="spellStart"/>
            <w:r w:rsidRPr="006D2727">
              <w:rPr>
                <w:rFonts w:cs="Arial"/>
                <w:b/>
                <w:sz w:val="20"/>
                <w:szCs w:val="20"/>
              </w:rPr>
              <w:t>financial</w:t>
            </w:r>
            <w:proofErr w:type="spellEnd"/>
            <w:r w:rsidRPr="006D2727">
              <w:rPr>
                <w:rFonts w:cs="Arial"/>
                <w:b/>
                <w:sz w:val="20"/>
                <w:szCs w:val="20"/>
              </w:rPr>
              <w:t xml:space="preserve"> instrument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Expiration</w:t>
            </w:r>
            <w:proofErr w:type="spellEnd"/>
            <w:r w:rsidRPr="006D2727">
              <w:rPr>
                <w:rFonts w:cs="Arial"/>
                <w:b/>
                <w:sz w:val="20"/>
                <w:szCs w:val="20"/>
              </w:rPr>
              <w:br/>
              <w:t>date</w:t>
            </w:r>
            <w:r w:rsidRPr="003F3252">
              <w:rPr>
                <w:rStyle w:val="Slutnotehenvisning"/>
                <w:sz w:val="20"/>
                <w:szCs w:val="20"/>
              </w:rPr>
              <w:endnoteReference w:id="8"/>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Exercise</w:t>
            </w:r>
            <w:proofErr w:type="spellEnd"/>
            <w:r w:rsidRPr="006D2727">
              <w:rPr>
                <w:rFonts w:cs="Arial"/>
                <w:b/>
                <w:sz w:val="20"/>
                <w:szCs w:val="20"/>
              </w:rPr>
              <w:t xml:space="preserve">/ </w:t>
            </w:r>
            <w:r w:rsidRPr="006D2727">
              <w:rPr>
                <w:rFonts w:cs="Arial"/>
                <w:b/>
                <w:sz w:val="20"/>
                <w:szCs w:val="20"/>
              </w:rPr>
              <w:br/>
            </w:r>
            <w:proofErr w:type="spellStart"/>
            <w:r>
              <w:rPr>
                <w:rFonts w:cs="Arial"/>
                <w:b/>
                <w:sz w:val="20"/>
                <w:szCs w:val="20"/>
              </w:rPr>
              <w:t>c</w:t>
            </w:r>
            <w:r w:rsidRPr="006D2727">
              <w:rPr>
                <w:rFonts w:cs="Arial"/>
                <w:b/>
                <w:sz w:val="20"/>
                <w:szCs w:val="20"/>
              </w:rPr>
              <w:t>onversion</w:t>
            </w:r>
            <w:proofErr w:type="spellEnd"/>
            <w:r w:rsidRPr="006D2727">
              <w:rPr>
                <w:rFonts w:cs="Arial"/>
                <w:b/>
                <w:sz w:val="20"/>
                <w:szCs w:val="20"/>
              </w:rPr>
              <w:t xml:space="preserve"> </w:t>
            </w:r>
            <w:proofErr w:type="spellStart"/>
            <w:r w:rsidRPr="006D2727">
              <w:rPr>
                <w:rFonts w:cs="Arial"/>
                <w:b/>
                <w:sz w:val="20"/>
                <w:szCs w:val="20"/>
              </w:rPr>
              <w:t>Period</w:t>
            </w:r>
            <w:proofErr w:type="spellEnd"/>
            <w:r w:rsidRPr="003F3252">
              <w:rPr>
                <w:rStyle w:val="Slutnotehenvisning"/>
                <w:sz w:val="20"/>
                <w:szCs w:val="20"/>
              </w:rPr>
              <w:endnoteReference w:id="9"/>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rFonts w:cs="Arial"/>
                <w:b/>
                <w:sz w:val="20"/>
                <w:szCs w:val="20"/>
                <w:lang w:val="en-US"/>
              </w:rPr>
            </w:pPr>
            <w:r w:rsidRPr="0075184C">
              <w:rPr>
                <w:rFonts w:cs="Arial"/>
                <w:b/>
                <w:sz w:val="20"/>
                <w:szCs w:val="20"/>
                <w:lang w:val="en-US"/>
              </w:rPr>
              <w:t>Number of voting rights that may be acquired if the instrument is exercised/converted.</w:t>
            </w:r>
          </w:p>
        </w:tc>
        <w:tc>
          <w:tcPr>
            <w:tcW w:w="1706" w:type="dxa"/>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 of </w:t>
            </w:r>
            <w:proofErr w:type="spellStart"/>
            <w:r w:rsidRPr="006D2727">
              <w:rPr>
                <w:rFonts w:cs="Arial"/>
                <w:b/>
                <w:sz w:val="20"/>
                <w:szCs w:val="20"/>
              </w:rPr>
              <w:t>voting</w:t>
            </w:r>
            <w:proofErr w:type="spellEnd"/>
            <w:r w:rsidRPr="006D2727">
              <w:rPr>
                <w:rFonts w:cs="Arial"/>
                <w:b/>
                <w:sz w:val="20"/>
                <w:szCs w:val="20"/>
              </w:rPr>
              <w:t xml:space="preserve"> </w:t>
            </w:r>
            <w:proofErr w:type="spellStart"/>
            <w:r w:rsidRPr="006D2727">
              <w:rPr>
                <w:rFonts w:cs="Arial"/>
                <w:b/>
                <w:sz w:val="20"/>
                <w:szCs w:val="20"/>
              </w:rPr>
              <w:t>rights</w:t>
            </w:r>
            <w:proofErr w:type="spellEnd"/>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left w:val="nil"/>
              <w:bottom w:val="nil"/>
              <w:right w:val="nil"/>
            </w:tcBorders>
          </w:tcPr>
          <w:p w:rsidR="0075184C" w:rsidRPr="006D2727" w:rsidRDefault="0075184C" w:rsidP="00D276DC">
            <w:pPr>
              <w:rPr>
                <w:rFonts w:cs="Arial"/>
              </w:rPr>
            </w:pPr>
          </w:p>
        </w:tc>
        <w:tc>
          <w:tcPr>
            <w:tcW w:w="1418" w:type="dxa"/>
            <w:gridSpan w:val="2"/>
            <w:tcBorders>
              <w:top w:val="single" w:sz="4" w:space="0" w:color="auto"/>
              <w:left w:val="nil"/>
              <w:bottom w:val="nil"/>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b/>
                <w:sz w:val="20"/>
                <w:szCs w:val="20"/>
              </w:rPr>
            </w:pPr>
            <w:r w:rsidRPr="006D2727">
              <w:rPr>
                <w:rFonts w:cs="Arial"/>
                <w:b/>
                <w:sz w:val="20"/>
                <w:szCs w:val="20"/>
              </w:rPr>
              <w:t xml:space="preserve">SUBTOTAL </w:t>
            </w:r>
            <w:r>
              <w:rPr>
                <w:rFonts w:cs="Arial"/>
                <w:b/>
                <w:sz w:val="20"/>
                <w:szCs w:val="20"/>
              </w:rPr>
              <w:t>7.1.</w:t>
            </w:r>
            <w:r w:rsidRPr="006D2727">
              <w:rPr>
                <w:rFonts w:cs="Arial"/>
                <w:b/>
                <w:sz w:val="20"/>
                <w:szCs w:val="20"/>
              </w:rPr>
              <w:t>B.1</w:t>
            </w: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70"/>
          <w:jc w:val="center"/>
        </w:trPr>
        <w:tc>
          <w:tcPr>
            <w:tcW w:w="10729" w:type="dxa"/>
            <w:gridSpan w:val="11"/>
          </w:tcPr>
          <w:p w:rsidR="0075184C" w:rsidRPr="00E1233C" w:rsidRDefault="0075184C" w:rsidP="00D276DC">
            <w:pPr>
              <w:rPr>
                <w:rFonts w:cs="Arial"/>
                <w:sz w:val="6"/>
                <w:szCs w:val="6"/>
              </w:rPr>
            </w:pPr>
          </w:p>
        </w:tc>
      </w:tr>
      <w:tr w:rsidR="0075184C" w:rsidRPr="006D2727" w:rsidTr="00D276DC">
        <w:trPr>
          <w:trHeight w:val="408"/>
          <w:jc w:val="center"/>
        </w:trPr>
        <w:tc>
          <w:tcPr>
            <w:tcW w:w="10729" w:type="dxa"/>
            <w:gridSpan w:val="11"/>
            <w:tcBorders>
              <w:top w:val="single" w:sz="4" w:space="0" w:color="auto"/>
              <w:bottom w:val="single" w:sz="4" w:space="0" w:color="auto"/>
            </w:tcBorders>
            <w:vAlign w:val="center"/>
          </w:tcPr>
          <w:p w:rsidR="0075184C" w:rsidRPr="00D95BE1" w:rsidRDefault="0075184C" w:rsidP="00D276DC">
            <w:pPr>
              <w:rPr>
                <w:rFonts w:cs="Arial"/>
                <w:b/>
                <w:i/>
              </w:rPr>
            </w:pPr>
            <w:r w:rsidRPr="0075184C">
              <w:rPr>
                <w:rFonts w:cs="Arial"/>
                <w:b/>
                <w:i/>
                <w:sz w:val="20"/>
                <w:lang w:val="en-US"/>
              </w:rPr>
              <w:t xml:space="preserve">7.1.B.2: Financial Instruments with similar economic effect acc. to Sect. 29 (4)(2) of Securities Trading, etc. </w:t>
            </w:r>
            <w:r w:rsidRPr="00D95BE1">
              <w:rPr>
                <w:rFonts w:cs="Arial"/>
                <w:b/>
                <w:i/>
                <w:sz w:val="20"/>
              </w:rPr>
              <w:t>Act</w:t>
            </w:r>
          </w:p>
        </w:tc>
      </w:tr>
      <w:tr w:rsidR="0075184C" w:rsidRPr="006D2727" w:rsidTr="00D276DC">
        <w:trPr>
          <w:jc w:val="center"/>
        </w:trPr>
        <w:tc>
          <w:tcPr>
            <w:tcW w:w="1935" w:type="dxa"/>
            <w:tcBorders>
              <w:top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Type of </w:t>
            </w:r>
            <w:proofErr w:type="spellStart"/>
            <w:r w:rsidRPr="006D2727">
              <w:rPr>
                <w:rFonts w:cs="Arial"/>
                <w:b/>
                <w:sz w:val="20"/>
                <w:szCs w:val="20"/>
              </w:rPr>
              <w:t>financial</w:t>
            </w:r>
            <w:proofErr w:type="spellEnd"/>
            <w:r w:rsidRPr="006D2727">
              <w:rPr>
                <w:rFonts w:cs="Arial"/>
                <w:b/>
                <w:sz w:val="20"/>
                <w:szCs w:val="20"/>
              </w:rPr>
              <w:t xml:space="preserve"> instrument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Expiration</w:t>
            </w:r>
            <w:proofErr w:type="spellEnd"/>
            <w:r w:rsidRPr="006D2727">
              <w:rPr>
                <w:rFonts w:cs="Arial"/>
                <w:b/>
                <w:sz w:val="20"/>
                <w:szCs w:val="20"/>
              </w:rPr>
              <w:br/>
            </w:r>
            <w:proofErr w:type="spellStart"/>
            <w:r w:rsidRPr="006D2727">
              <w:rPr>
                <w:rFonts w:cs="Arial"/>
                <w:b/>
                <w:sz w:val="20"/>
                <w:szCs w:val="20"/>
              </w:rPr>
              <w:t>date</w:t>
            </w:r>
            <w:r w:rsidRPr="003F3252">
              <w:rPr>
                <w:rFonts w:cs="Arial"/>
                <w:sz w:val="20"/>
                <w:szCs w:val="20"/>
                <w:vertAlign w:val="superscript"/>
              </w:rPr>
              <w:t>viii</w:t>
            </w:r>
            <w:proofErr w:type="spellEnd"/>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Exercise</w:t>
            </w:r>
            <w:proofErr w:type="spellEnd"/>
            <w:r w:rsidRPr="006D2727">
              <w:rPr>
                <w:rFonts w:cs="Arial"/>
                <w:b/>
                <w:sz w:val="20"/>
                <w:szCs w:val="20"/>
              </w:rPr>
              <w:t xml:space="preserve">/ </w:t>
            </w:r>
            <w:r w:rsidRPr="006D2727">
              <w:rPr>
                <w:rFonts w:cs="Arial"/>
                <w:b/>
                <w:sz w:val="20"/>
                <w:szCs w:val="20"/>
              </w:rPr>
              <w:br/>
            </w:r>
            <w:proofErr w:type="spellStart"/>
            <w:r>
              <w:rPr>
                <w:rFonts w:cs="Arial"/>
                <w:b/>
                <w:sz w:val="20"/>
                <w:szCs w:val="20"/>
              </w:rPr>
              <w:t>c</w:t>
            </w:r>
            <w:r w:rsidRPr="006D2727">
              <w:rPr>
                <w:rFonts w:cs="Arial"/>
                <w:b/>
                <w:sz w:val="20"/>
                <w:szCs w:val="20"/>
              </w:rPr>
              <w:t>onversion</w:t>
            </w:r>
            <w:proofErr w:type="spellEnd"/>
            <w:r w:rsidRPr="006D2727">
              <w:rPr>
                <w:rFonts w:cs="Arial"/>
                <w:b/>
                <w:sz w:val="20"/>
                <w:szCs w:val="20"/>
              </w:rPr>
              <w:t xml:space="preserve"> </w:t>
            </w:r>
            <w:proofErr w:type="spellStart"/>
            <w:r>
              <w:rPr>
                <w:rFonts w:cs="Arial"/>
                <w:b/>
                <w:sz w:val="20"/>
                <w:szCs w:val="20"/>
              </w:rPr>
              <w:t>p</w:t>
            </w:r>
            <w:r w:rsidRPr="006D2727">
              <w:rPr>
                <w:rFonts w:cs="Arial"/>
                <w:b/>
                <w:sz w:val="20"/>
                <w:szCs w:val="20"/>
              </w:rPr>
              <w:t>eriod</w:t>
            </w:r>
            <w:r>
              <w:rPr>
                <w:rFonts w:cs="Arial"/>
                <w:sz w:val="20"/>
                <w:szCs w:val="20"/>
                <w:vertAlign w:val="superscript"/>
              </w:rPr>
              <w:t>ix</w:t>
            </w:r>
            <w:proofErr w:type="spellEnd"/>
          </w:p>
        </w:tc>
        <w:tc>
          <w:tcPr>
            <w:tcW w:w="1746"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Physical</w:t>
            </w:r>
            <w:proofErr w:type="spellEnd"/>
            <w:r w:rsidRPr="006D2727">
              <w:rPr>
                <w:rFonts w:cs="Arial"/>
                <w:b/>
                <w:sz w:val="20"/>
                <w:szCs w:val="20"/>
              </w:rPr>
              <w:t xml:space="preserve"> or </w:t>
            </w:r>
            <w:proofErr w:type="spellStart"/>
            <w:r w:rsidRPr="006D2727">
              <w:rPr>
                <w:rFonts w:cs="Arial"/>
                <w:b/>
                <w:sz w:val="20"/>
                <w:szCs w:val="20"/>
              </w:rPr>
              <w:t>cash</w:t>
            </w:r>
            <w:proofErr w:type="spellEnd"/>
            <w:r w:rsidRPr="006D2727">
              <w:rPr>
                <w:rFonts w:cs="Arial"/>
                <w:b/>
                <w:sz w:val="20"/>
                <w:szCs w:val="20"/>
              </w:rPr>
              <w:t xml:space="preserve"> settlement</w:t>
            </w:r>
            <w:r w:rsidRPr="003F3252">
              <w:rPr>
                <w:rStyle w:val="Slutnotehenvisning"/>
                <w:sz w:val="20"/>
                <w:szCs w:val="20"/>
              </w:rPr>
              <w:endnoteReference w:id="10"/>
            </w:r>
          </w:p>
        </w:tc>
        <w:tc>
          <w:tcPr>
            <w:tcW w:w="1798" w:type="dxa"/>
            <w:gridSpan w:val="2"/>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Number</w:t>
            </w:r>
            <w:proofErr w:type="spellEnd"/>
            <w:r w:rsidRPr="006D2727">
              <w:rPr>
                <w:rFonts w:cs="Arial"/>
                <w:b/>
                <w:sz w:val="20"/>
                <w:szCs w:val="20"/>
              </w:rPr>
              <w:t xml:space="preserve"> of </w:t>
            </w:r>
            <w:proofErr w:type="spellStart"/>
            <w:r w:rsidRPr="006D2727">
              <w:rPr>
                <w:rFonts w:cs="Arial"/>
                <w:b/>
                <w:sz w:val="20"/>
                <w:szCs w:val="20"/>
              </w:rPr>
              <w:t>voting</w:t>
            </w:r>
            <w:proofErr w:type="spellEnd"/>
            <w:r w:rsidRPr="006D2727">
              <w:rPr>
                <w:rFonts w:cs="Arial"/>
                <w:b/>
                <w:sz w:val="20"/>
                <w:szCs w:val="20"/>
              </w:rPr>
              <w:t xml:space="preserve"> </w:t>
            </w:r>
            <w:proofErr w:type="spellStart"/>
            <w:r w:rsidRPr="006D2727">
              <w:rPr>
                <w:rFonts w:cs="Arial"/>
                <w:b/>
                <w:sz w:val="20"/>
                <w:szCs w:val="20"/>
              </w:rPr>
              <w:t>rights</w:t>
            </w:r>
            <w:proofErr w:type="spellEnd"/>
          </w:p>
        </w:tc>
        <w:tc>
          <w:tcPr>
            <w:tcW w:w="1706" w:type="dxa"/>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 of </w:t>
            </w:r>
            <w:proofErr w:type="spellStart"/>
            <w:r w:rsidRPr="006D2727">
              <w:rPr>
                <w:rFonts w:cs="Arial"/>
                <w:b/>
                <w:sz w:val="20"/>
                <w:szCs w:val="20"/>
              </w:rPr>
              <w:t>voting</w:t>
            </w:r>
            <w:proofErr w:type="spellEnd"/>
            <w:r w:rsidRPr="006D2727">
              <w:rPr>
                <w:rFonts w:cs="Arial"/>
                <w:b/>
                <w:sz w:val="20"/>
                <w:szCs w:val="20"/>
              </w:rPr>
              <w:t xml:space="preserve"> </w:t>
            </w:r>
            <w:proofErr w:type="spellStart"/>
            <w:r w:rsidRPr="006D2727">
              <w:rPr>
                <w:rFonts w:cs="Arial"/>
                <w:b/>
                <w:sz w:val="20"/>
                <w:szCs w:val="20"/>
              </w:rPr>
              <w:t>rights</w:t>
            </w:r>
            <w:proofErr w:type="spellEnd"/>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
        </w:tc>
        <w:tc>
          <w:tcPr>
            <w:tcW w:w="1798" w:type="dxa"/>
            <w:gridSpan w:val="2"/>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p>
        </w:tc>
        <w:tc>
          <w:tcPr>
            <w:tcW w:w="1706" w:type="dxa"/>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4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98"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4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98"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left w:val="nil"/>
              <w:bottom w:val="nil"/>
              <w:right w:val="nil"/>
            </w:tcBorders>
          </w:tcPr>
          <w:p w:rsidR="0075184C" w:rsidRPr="006D2727" w:rsidRDefault="0075184C" w:rsidP="00D276DC">
            <w:pPr>
              <w:rPr>
                <w:rFonts w:cs="Arial"/>
              </w:rPr>
            </w:pPr>
          </w:p>
        </w:tc>
        <w:tc>
          <w:tcPr>
            <w:tcW w:w="1620" w:type="dxa"/>
            <w:gridSpan w:val="3"/>
            <w:tcBorders>
              <w:top w:val="single" w:sz="4" w:space="0" w:color="auto"/>
              <w:left w:val="nil"/>
              <w:bottom w:val="nil"/>
              <w:right w:val="nil"/>
            </w:tcBorders>
          </w:tcPr>
          <w:p w:rsidR="0075184C" w:rsidRPr="006D2727" w:rsidRDefault="0075184C" w:rsidP="00D276DC">
            <w:pPr>
              <w:rPr>
                <w:rFonts w:cs="Arial"/>
              </w:rPr>
            </w:pPr>
          </w:p>
        </w:tc>
        <w:tc>
          <w:tcPr>
            <w:tcW w:w="1924" w:type="dxa"/>
            <w:gridSpan w:val="2"/>
            <w:tcBorders>
              <w:top w:val="single" w:sz="4" w:space="0" w:color="auto"/>
              <w:left w:val="nil"/>
              <w:bottom w:val="nil"/>
              <w:right w:val="single" w:sz="4" w:space="0" w:color="auto"/>
            </w:tcBorders>
          </w:tcPr>
          <w:p w:rsidR="0075184C" w:rsidRPr="006D2727" w:rsidRDefault="0075184C" w:rsidP="00D276DC">
            <w:pPr>
              <w:rPr>
                <w:rFonts w:cs="Arial"/>
                <w:b/>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r w:rsidRPr="006D2727">
              <w:rPr>
                <w:rFonts w:cs="Arial"/>
                <w:b/>
                <w:sz w:val="20"/>
                <w:szCs w:val="20"/>
              </w:rPr>
              <w:t xml:space="preserve">SUBTOTAL </w:t>
            </w:r>
            <w:r>
              <w:rPr>
                <w:rFonts w:cs="Arial"/>
                <w:b/>
                <w:sz w:val="20"/>
                <w:szCs w:val="20"/>
              </w:rPr>
              <w:t>7.1.</w:t>
            </w:r>
            <w:r w:rsidRPr="006D2727">
              <w:rPr>
                <w:rFonts w:cs="Arial"/>
                <w:b/>
                <w:sz w:val="20"/>
                <w:szCs w:val="20"/>
              </w:rPr>
              <w:t>B.2</w:t>
            </w:r>
          </w:p>
        </w:tc>
        <w:tc>
          <w:tcPr>
            <w:tcW w:w="1798"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bl>
    <w:p w:rsidR="0075184C" w:rsidRDefault="0075184C" w:rsidP="0075184C">
      <w:r>
        <w:br w:type="page"/>
      </w:r>
    </w:p>
    <w:tbl>
      <w:tblPr>
        <w:tblW w:w="1072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5"/>
        <w:gridCol w:w="118"/>
        <w:gridCol w:w="1300"/>
        <w:gridCol w:w="202"/>
        <w:gridCol w:w="648"/>
        <w:gridCol w:w="1276"/>
        <w:gridCol w:w="850"/>
        <w:gridCol w:w="896"/>
        <w:gridCol w:w="1231"/>
        <w:gridCol w:w="567"/>
        <w:gridCol w:w="1706"/>
      </w:tblGrid>
      <w:tr w:rsidR="0075184C" w:rsidRPr="004F1FC0" w:rsidTr="00D276DC">
        <w:trPr>
          <w:trHeight w:val="326"/>
          <w:jc w:val="center"/>
        </w:trPr>
        <w:tc>
          <w:tcPr>
            <w:tcW w:w="10729" w:type="dxa"/>
            <w:gridSpan w:val="11"/>
            <w:tcBorders>
              <w:top w:val="single" w:sz="4" w:space="0" w:color="auto"/>
              <w:bottom w:val="single" w:sz="4" w:space="0" w:color="auto"/>
            </w:tcBorders>
          </w:tcPr>
          <w:p w:rsidR="0075184C" w:rsidRPr="0075184C" w:rsidRDefault="0075184C" w:rsidP="00D276DC">
            <w:pPr>
              <w:rPr>
                <w:lang w:val="en-US"/>
              </w:rPr>
            </w:pPr>
            <w:r w:rsidRPr="0075184C">
              <w:rPr>
                <w:lang w:val="en-US"/>
              </w:rPr>
              <w:lastRenderedPageBreak/>
              <w:br w:type="page"/>
            </w:r>
            <w:r w:rsidRPr="0075184C">
              <w:rPr>
                <w:lang w:val="en-US"/>
              </w:rPr>
              <w:br w:type="page"/>
            </w:r>
            <w:r w:rsidRPr="0075184C">
              <w:rPr>
                <w:rFonts w:cs="Arial"/>
                <w:b/>
                <w:lang w:val="en-US"/>
              </w:rPr>
              <w:t>7.2. Notified details of the resulting situation on the date on which the threshold was crossed or reached:</w:t>
            </w:r>
          </w:p>
        </w:tc>
      </w:tr>
      <w:tr w:rsidR="0075184C" w:rsidRPr="004F1FC0" w:rsidTr="00D276DC">
        <w:trPr>
          <w:trHeight w:val="458"/>
          <w:jc w:val="center"/>
        </w:trPr>
        <w:tc>
          <w:tcPr>
            <w:tcW w:w="10729" w:type="dxa"/>
            <w:gridSpan w:val="11"/>
            <w:tcBorders>
              <w:top w:val="single" w:sz="4" w:space="0" w:color="auto"/>
              <w:bottom w:val="single" w:sz="4" w:space="0" w:color="auto"/>
            </w:tcBorders>
            <w:vAlign w:val="center"/>
          </w:tcPr>
          <w:p w:rsidR="0075184C" w:rsidRPr="0075184C" w:rsidRDefault="0075184C" w:rsidP="00D276DC">
            <w:pPr>
              <w:rPr>
                <w:rFonts w:cs="Arial"/>
                <w:b/>
                <w:i/>
                <w:lang w:val="en-US"/>
              </w:rPr>
            </w:pPr>
            <w:r w:rsidRPr="0075184C">
              <w:rPr>
                <w:rFonts w:cs="Arial"/>
                <w:b/>
                <w:i/>
                <w:sz w:val="20"/>
                <w:lang w:val="en-US"/>
              </w:rPr>
              <w:t>7.2.A: Share capital attached to shares</w:t>
            </w:r>
          </w:p>
        </w:tc>
      </w:tr>
      <w:tr w:rsidR="0075184C" w:rsidRPr="006D2727" w:rsidTr="00D276DC">
        <w:trPr>
          <w:trHeight w:val="386"/>
          <w:jc w:val="center"/>
        </w:trPr>
        <w:tc>
          <w:tcPr>
            <w:tcW w:w="2053" w:type="dxa"/>
            <w:gridSpan w:val="2"/>
            <w:vMerge w:val="restart"/>
            <w:tcBorders>
              <w:top w:val="single" w:sz="4" w:space="0" w:color="auto"/>
              <w:bottom w:val="single" w:sz="4" w:space="0" w:color="auto"/>
              <w:right w:val="single" w:sz="4" w:space="0" w:color="auto"/>
            </w:tcBorders>
          </w:tcPr>
          <w:p w:rsidR="0075184C" w:rsidRPr="0075184C" w:rsidRDefault="0075184C" w:rsidP="00D276DC">
            <w:pPr>
              <w:rPr>
                <w:rFonts w:cs="Arial"/>
                <w:b/>
                <w:sz w:val="20"/>
                <w:szCs w:val="20"/>
                <w:lang w:val="en-US"/>
              </w:rPr>
            </w:pPr>
            <w:r w:rsidRPr="0075184C">
              <w:rPr>
                <w:rFonts w:cs="Arial"/>
                <w:b/>
                <w:sz w:val="20"/>
                <w:szCs w:val="20"/>
                <w:lang w:val="en-US"/>
              </w:rPr>
              <w:t>Class/type of</w:t>
            </w:r>
            <w:r w:rsidRPr="0075184C">
              <w:rPr>
                <w:rFonts w:cs="Arial"/>
                <w:b/>
                <w:sz w:val="20"/>
                <w:szCs w:val="20"/>
                <w:lang w:val="en-US"/>
              </w:rPr>
              <w:br/>
              <w:t>shares</w:t>
            </w:r>
          </w:p>
          <w:p w:rsidR="0075184C" w:rsidRPr="0075184C" w:rsidRDefault="0075184C" w:rsidP="00D276DC">
            <w:pPr>
              <w:rPr>
                <w:rFonts w:cs="Arial"/>
                <w:sz w:val="20"/>
                <w:szCs w:val="20"/>
                <w:lang w:val="en-US"/>
              </w:rPr>
            </w:pPr>
            <w:r w:rsidRPr="0075184C">
              <w:rPr>
                <w:rFonts w:cs="Arial"/>
                <w:sz w:val="20"/>
                <w:szCs w:val="20"/>
                <w:lang w:val="en-US"/>
              </w:rPr>
              <w:t>ISIN code (if possible)</w:t>
            </w:r>
          </w:p>
        </w:tc>
        <w:tc>
          <w:tcPr>
            <w:tcW w:w="4276" w:type="dxa"/>
            <w:gridSpan w:val="5"/>
            <w:tcBorders>
              <w:top w:val="single" w:sz="4" w:space="0" w:color="auto"/>
              <w:lef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Number</w:t>
            </w:r>
            <w:proofErr w:type="spellEnd"/>
            <w:r w:rsidRPr="006D2727">
              <w:rPr>
                <w:rFonts w:cs="Arial"/>
                <w:b/>
                <w:sz w:val="20"/>
                <w:szCs w:val="20"/>
              </w:rPr>
              <w:t xml:space="preserve"> of </w:t>
            </w:r>
            <w:proofErr w:type="spellStart"/>
            <w:r>
              <w:rPr>
                <w:rFonts w:cs="Arial"/>
                <w:b/>
                <w:sz w:val="20"/>
                <w:szCs w:val="20"/>
              </w:rPr>
              <w:t>share</w:t>
            </w:r>
            <w:r w:rsidRPr="006D2727">
              <w:rPr>
                <w:rFonts w:cs="Arial"/>
                <w:b/>
                <w:sz w:val="20"/>
                <w:szCs w:val="20"/>
              </w:rPr>
              <w:t>s</w:t>
            </w:r>
            <w:r w:rsidRPr="003F3252">
              <w:rPr>
                <w:rFonts w:cs="Arial"/>
                <w:sz w:val="20"/>
                <w:szCs w:val="20"/>
                <w:vertAlign w:val="superscript"/>
              </w:rPr>
              <w:t>vii</w:t>
            </w:r>
            <w:proofErr w:type="spellEnd"/>
          </w:p>
        </w:tc>
        <w:tc>
          <w:tcPr>
            <w:tcW w:w="4400" w:type="dxa"/>
            <w:gridSpan w:val="4"/>
            <w:tcBorders>
              <w:top w:val="single" w:sz="4" w:space="0" w:color="auto"/>
              <w:left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 of </w:t>
            </w:r>
            <w:proofErr w:type="spellStart"/>
            <w:r>
              <w:rPr>
                <w:rFonts w:cs="Arial"/>
                <w:b/>
                <w:sz w:val="20"/>
                <w:szCs w:val="20"/>
              </w:rPr>
              <w:t>share</w:t>
            </w:r>
            <w:proofErr w:type="spellEnd"/>
            <w:r>
              <w:rPr>
                <w:rFonts w:cs="Arial"/>
                <w:b/>
                <w:sz w:val="20"/>
                <w:szCs w:val="20"/>
              </w:rPr>
              <w:t xml:space="preserve"> </w:t>
            </w:r>
            <w:proofErr w:type="spellStart"/>
            <w:r>
              <w:rPr>
                <w:rFonts w:cs="Arial"/>
                <w:b/>
                <w:sz w:val="20"/>
                <w:szCs w:val="20"/>
              </w:rPr>
              <w:t>capital</w:t>
            </w:r>
            <w:proofErr w:type="spellEnd"/>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374"/>
          <w:jc w:val="center"/>
        </w:trPr>
        <w:tc>
          <w:tcPr>
            <w:tcW w:w="2053" w:type="dxa"/>
            <w:gridSpan w:val="2"/>
            <w:vMerge/>
            <w:tcBorders>
              <w:top w:val="single" w:sz="4" w:space="0" w:color="auto"/>
              <w:left w:val="single" w:sz="4" w:space="0" w:color="auto"/>
              <w:bottom w:val="single" w:sz="4" w:space="0" w:color="auto"/>
              <w:right w:val="single" w:sz="4" w:space="0" w:color="auto"/>
            </w:tcBorders>
          </w:tcPr>
          <w:p w:rsidR="0075184C" w:rsidRPr="006D2727" w:rsidRDefault="0075184C" w:rsidP="00D276DC">
            <w:pPr>
              <w:rPr>
                <w:sz w:val="20"/>
                <w:szCs w:val="20"/>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cs="Arial"/>
                <w:b/>
                <w:sz w:val="20"/>
                <w:szCs w:val="20"/>
                <w:lang w:val="en-US"/>
              </w:rPr>
            </w:pPr>
            <w:r w:rsidRPr="0075184C">
              <w:rPr>
                <w:rFonts w:cs="Arial"/>
                <w:b/>
                <w:sz w:val="20"/>
                <w:szCs w:val="20"/>
                <w:lang w:val="en-US"/>
              </w:rPr>
              <w:t>Direct</w:t>
            </w:r>
          </w:p>
          <w:p w:rsidR="0075184C" w:rsidRPr="006D2727" w:rsidRDefault="0075184C" w:rsidP="00D276DC">
            <w:pPr>
              <w:jc w:val="center"/>
              <w:rPr>
                <w:rFonts w:cs="Arial"/>
                <w:sz w:val="16"/>
                <w:szCs w:val="16"/>
              </w:rPr>
            </w:pPr>
            <w:r w:rsidRPr="0075184C">
              <w:rPr>
                <w:rFonts w:cs="Arial"/>
                <w:sz w:val="16"/>
                <w:szCs w:val="16"/>
                <w:lang w:val="en-US"/>
              </w:rPr>
              <w:t xml:space="preserve">(Sect. 29 (1) of Securities Trading, etc. </w:t>
            </w:r>
            <w:r w:rsidRPr="00D95BE1">
              <w:rPr>
                <w:rFonts w:cs="Arial"/>
                <w:sz w:val="16"/>
                <w:szCs w:val="16"/>
              </w:rPr>
              <w:t>Act)</w:t>
            </w:r>
          </w:p>
        </w:tc>
        <w:tc>
          <w:tcPr>
            <w:tcW w:w="2126" w:type="dxa"/>
            <w:gridSpan w:val="2"/>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ascii="TimesNewRomanPSMT" w:hAnsi="TimesNewRomanPSMT" w:cs="TimesNewRomanPSMT"/>
                <w:sz w:val="16"/>
                <w:szCs w:val="16"/>
                <w:lang w:val="en-US" w:eastAsia="fr-FR"/>
              </w:rPr>
            </w:pPr>
            <w:r w:rsidRPr="0075184C">
              <w:rPr>
                <w:rFonts w:cs="Arial"/>
                <w:b/>
                <w:sz w:val="20"/>
                <w:szCs w:val="20"/>
                <w:lang w:val="en-US"/>
              </w:rPr>
              <w:t>Indirect</w:t>
            </w:r>
          </w:p>
          <w:p w:rsidR="0075184C" w:rsidRPr="006D2727" w:rsidRDefault="0075184C" w:rsidP="00D276DC">
            <w:pPr>
              <w:jc w:val="center"/>
              <w:rPr>
                <w:rFonts w:cs="Arial"/>
                <w:b/>
                <w:sz w:val="20"/>
                <w:szCs w:val="20"/>
              </w:rPr>
            </w:pPr>
            <w:r w:rsidRPr="0075184C">
              <w:rPr>
                <w:rFonts w:cs="Arial"/>
                <w:sz w:val="16"/>
                <w:szCs w:val="16"/>
                <w:lang w:val="en-US"/>
              </w:rPr>
              <w:t xml:space="preserve">(Sect. 29 (3) of Securities Trading, etc. </w:t>
            </w:r>
            <w:r w:rsidRPr="00D95BE1">
              <w:rPr>
                <w:rFonts w:cs="Arial"/>
                <w:sz w:val="16"/>
                <w:szCs w:val="16"/>
              </w:rPr>
              <w:t>Act)</w:t>
            </w:r>
          </w:p>
        </w:tc>
        <w:tc>
          <w:tcPr>
            <w:tcW w:w="2127" w:type="dxa"/>
            <w:gridSpan w:val="2"/>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cs="Arial"/>
                <w:b/>
                <w:sz w:val="20"/>
                <w:szCs w:val="20"/>
                <w:lang w:val="en-US"/>
              </w:rPr>
            </w:pPr>
            <w:r w:rsidRPr="0075184C">
              <w:rPr>
                <w:rFonts w:cs="Arial"/>
                <w:b/>
                <w:sz w:val="20"/>
                <w:szCs w:val="20"/>
                <w:lang w:val="en-US"/>
              </w:rPr>
              <w:t>Direct</w:t>
            </w:r>
          </w:p>
          <w:p w:rsidR="0075184C" w:rsidRPr="006D2727" w:rsidRDefault="0075184C" w:rsidP="00D276DC">
            <w:pPr>
              <w:jc w:val="center"/>
              <w:rPr>
                <w:rFonts w:cs="Arial"/>
                <w:b/>
                <w:sz w:val="20"/>
                <w:szCs w:val="20"/>
              </w:rPr>
            </w:pPr>
            <w:r w:rsidRPr="0075184C">
              <w:rPr>
                <w:rFonts w:cs="Arial"/>
                <w:sz w:val="16"/>
                <w:szCs w:val="16"/>
                <w:lang w:val="en-US"/>
              </w:rPr>
              <w:t xml:space="preserve">(Sect. 29 (1) of Securities Trading, etc. </w:t>
            </w:r>
            <w:r w:rsidRPr="00D95BE1">
              <w:rPr>
                <w:rFonts w:cs="Arial"/>
                <w:sz w:val="16"/>
                <w:szCs w:val="16"/>
              </w:rPr>
              <w:t>Act)</w:t>
            </w:r>
          </w:p>
        </w:tc>
        <w:tc>
          <w:tcPr>
            <w:tcW w:w="2273" w:type="dxa"/>
            <w:gridSpan w:val="2"/>
            <w:tcBorders>
              <w:top w:val="single" w:sz="4" w:space="0" w:color="auto"/>
              <w:left w:val="single" w:sz="4" w:space="0" w:color="auto"/>
              <w:bottom w:val="single" w:sz="4" w:space="0" w:color="auto"/>
              <w:right w:val="single" w:sz="4" w:space="0" w:color="auto"/>
            </w:tcBorders>
          </w:tcPr>
          <w:p w:rsidR="0075184C" w:rsidRPr="0075184C" w:rsidRDefault="0075184C" w:rsidP="00D276DC">
            <w:pPr>
              <w:jc w:val="center"/>
              <w:rPr>
                <w:rFonts w:cs="Arial"/>
                <w:b/>
                <w:sz w:val="20"/>
                <w:szCs w:val="20"/>
                <w:lang w:val="en-US"/>
              </w:rPr>
            </w:pPr>
            <w:r w:rsidRPr="0075184C">
              <w:rPr>
                <w:rFonts w:cs="Arial"/>
                <w:b/>
                <w:sz w:val="20"/>
                <w:szCs w:val="20"/>
                <w:lang w:val="en-US"/>
              </w:rPr>
              <w:t>Indirect</w:t>
            </w:r>
          </w:p>
          <w:p w:rsidR="0075184C" w:rsidRPr="006D2727" w:rsidRDefault="0075184C" w:rsidP="00D276DC">
            <w:pPr>
              <w:jc w:val="center"/>
              <w:rPr>
                <w:rFonts w:cs="Arial"/>
                <w:b/>
                <w:sz w:val="20"/>
                <w:szCs w:val="20"/>
              </w:rPr>
            </w:pPr>
            <w:r w:rsidRPr="0075184C">
              <w:rPr>
                <w:rFonts w:cs="Arial"/>
                <w:sz w:val="16"/>
                <w:szCs w:val="16"/>
                <w:lang w:val="en-US"/>
              </w:rPr>
              <w:t xml:space="preserve">(Sect. 29 (3) of Securities Trading, etc. </w:t>
            </w:r>
            <w:r w:rsidRPr="00D95BE1">
              <w:rPr>
                <w:rFonts w:cs="Arial"/>
                <w:sz w:val="16"/>
                <w:szCs w:val="16"/>
              </w:rPr>
              <w:t>Act)</w:t>
            </w: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27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27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50"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27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470"/>
          <w:jc w:val="center"/>
        </w:trPr>
        <w:tc>
          <w:tcPr>
            <w:tcW w:w="2053"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b/>
                <w:sz w:val="20"/>
                <w:szCs w:val="20"/>
              </w:rPr>
            </w:pPr>
            <w:r w:rsidRPr="006D2727">
              <w:rPr>
                <w:rFonts w:cs="Arial"/>
                <w:b/>
                <w:sz w:val="20"/>
                <w:szCs w:val="20"/>
              </w:rPr>
              <w:t xml:space="preserve">SUBTOTAL </w:t>
            </w:r>
            <w:r>
              <w:rPr>
                <w:rFonts w:cs="Arial"/>
                <w:b/>
                <w:sz w:val="20"/>
                <w:szCs w:val="20"/>
              </w:rPr>
              <w:t>7.2.</w:t>
            </w:r>
            <w:r w:rsidRPr="006D2727">
              <w:rPr>
                <w:rFonts w:cs="Arial"/>
                <w:b/>
                <w:sz w:val="20"/>
                <w:szCs w:val="20"/>
              </w:rPr>
              <w:t>A</w:t>
            </w:r>
          </w:p>
        </w:tc>
        <w:tc>
          <w:tcPr>
            <w:tcW w:w="2150" w:type="dxa"/>
            <w:gridSpan w:val="3"/>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2126" w:type="dxa"/>
            <w:gridSpan w:val="2"/>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2127"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2273" w:type="dxa"/>
            <w:gridSpan w:val="2"/>
            <w:tcBorders>
              <w:top w:val="single" w:sz="4" w:space="0" w:color="auto"/>
              <w:bottom w:val="single" w:sz="4" w:space="0" w:color="auto"/>
              <w:right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70"/>
          <w:jc w:val="center"/>
        </w:trPr>
        <w:tc>
          <w:tcPr>
            <w:tcW w:w="10729" w:type="dxa"/>
            <w:gridSpan w:val="11"/>
          </w:tcPr>
          <w:p w:rsidR="0075184C" w:rsidRPr="00E1233C" w:rsidRDefault="0075184C" w:rsidP="00D276DC">
            <w:pPr>
              <w:rPr>
                <w:rFonts w:cs="Arial"/>
                <w:sz w:val="6"/>
                <w:szCs w:val="6"/>
              </w:rPr>
            </w:pPr>
          </w:p>
        </w:tc>
      </w:tr>
      <w:tr w:rsidR="0075184C" w:rsidRPr="006D2727" w:rsidTr="00D276DC">
        <w:trPr>
          <w:trHeight w:val="530"/>
          <w:jc w:val="center"/>
        </w:trPr>
        <w:tc>
          <w:tcPr>
            <w:tcW w:w="10729" w:type="dxa"/>
            <w:gridSpan w:val="11"/>
            <w:tcBorders>
              <w:top w:val="single" w:sz="4" w:space="0" w:color="auto"/>
              <w:bottom w:val="single" w:sz="4" w:space="0" w:color="auto"/>
            </w:tcBorders>
            <w:vAlign w:val="center"/>
          </w:tcPr>
          <w:p w:rsidR="0075184C" w:rsidRPr="00D95BE1" w:rsidRDefault="0075184C" w:rsidP="00D276DC">
            <w:pPr>
              <w:rPr>
                <w:rFonts w:cs="Arial"/>
                <w:b/>
                <w:i/>
                <w:sz w:val="20"/>
              </w:rPr>
            </w:pPr>
            <w:r w:rsidRPr="0075184C">
              <w:rPr>
                <w:rFonts w:cs="Arial"/>
                <w:b/>
                <w:i/>
                <w:sz w:val="20"/>
                <w:lang w:val="en-US"/>
              </w:rPr>
              <w:t xml:space="preserve">7.2.B.1: Financial Instruments according to section 29 (4)(1) of the Securities Trading, etc. </w:t>
            </w:r>
            <w:r w:rsidRPr="00D95BE1">
              <w:rPr>
                <w:rFonts w:cs="Arial"/>
                <w:b/>
                <w:i/>
                <w:sz w:val="20"/>
              </w:rPr>
              <w:t>Act</w:t>
            </w:r>
            <w:r w:rsidRPr="00E1233C">
              <w:rPr>
                <w:rFonts w:cs="Arial"/>
                <w:b/>
                <w:i/>
                <w:sz w:val="20"/>
              </w:rPr>
              <w:t xml:space="preserve"> </w:t>
            </w:r>
          </w:p>
        </w:tc>
      </w:tr>
      <w:tr w:rsidR="0075184C" w:rsidRPr="006D2727" w:rsidTr="00D276DC">
        <w:trPr>
          <w:jc w:val="center"/>
        </w:trPr>
        <w:tc>
          <w:tcPr>
            <w:tcW w:w="1935" w:type="dxa"/>
            <w:tcBorders>
              <w:top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Type of </w:t>
            </w:r>
            <w:proofErr w:type="spellStart"/>
            <w:r w:rsidRPr="006D2727">
              <w:rPr>
                <w:rFonts w:cs="Arial"/>
                <w:b/>
                <w:sz w:val="20"/>
                <w:szCs w:val="20"/>
              </w:rPr>
              <w:t>financial</w:t>
            </w:r>
            <w:proofErr w:type="spellEnd"/>
            <w:r w:rsidRPr="006D2727">
              <w:rPr>
                <w:rFonts w:cs="Arial"/>
                <w:b/>
                <w:sz w:val="20"/>
                <w:szCs w:val="20"/>
              </w:rPr>
              <w:t xml:space="preserve"> instrument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Expiration</w:t>
            </w:r>
            <w:proofErr w:type="spellEnd"/>
            <w:r w:rsidRPr="006D2727">
              <w:rPr>
                <w:rFonts w:cs="Arial"/>
                <w:b/>
                <w:sz w:val="20"/>
                <w:szCs w:val="20"/>
              </w:rPr>
              <w:br/>
            </w:r>
            <w:proofErr w:type="spellStart"/>
            <w:r w:rsidRPr="006D2727">
              <w:rPr>
                <w:rFonts w:cs="Arial"/>
                <w:b/>
                <w:sz w:val="20"/>
                <w:szCs w:val="20"/>
              </w:rPr>
              <w:t>date</w:t>
            </w:r>
            <w:r w:rsidRPr="003F3252">
              <w:rPr>
                <w:rFonts w:cs="Arial"/>
                <w:sz w:val="20"/>
                <w:szCs w:val="20"/>
                <w:vertAlign w:val="superscript"/>
              </w:rPr>
              <w:t>viii</w:t>
            </w:r>
            <w:proofErr w:type="spellEnd"/>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Exercise</w:t>
            </w:r>
            <w:proofErr w:type="spellEnd"/>
            <w:r w:rsidRPr="006D2727">
              <w:rPr>
                <w:rFonts w:cs="Arial"/>
                <w:b/>
                <w:sz w:val="20"/>
                <w:szCs w:val="20"/>
              </w:rPr>
              <w:t xml:space="preserve">/ </w:t>
            </w:r>
            <w:r w:rsidRPr="006D2727">
              <w:rPr>
                <w:rFonts w:cs="Arial"/>
                <w:b/>
                <w:sz w:val="20"/>
                <w:szCs w:val="20"/>
              </w:rPr>
              <w:br/>
            </w:r>
            <w:proofErr w:type="spellStart"/>
            <w:r>
              <w:rPr>
                <w:rFonts w:cs="Arial"/>
                <w:b/>
                <w:sz w:val="20"/>
                <w:szCs w:val="20"/>
              </w:rPr>
              <w:t>c</w:t>
            </w:r>
            <w:r w:rsidRPr="006D2727">
              <w:rPr>
                <w:rFonts w:cs="Arial"/>
                <w:b/>
                <w:sz w:val="20"/>
                <w:szCs w:val="20"/>
              </w:rPr>
              <w:t>onversion</w:t>
            </w:r>
            <w:proofErr w:type="spellEnd"/>
            <w:r w:rsidRPr="006D2727">
              <w:rPr>
                <w:rFonts w:cs="Arial"/>
                <w:b/>
                <w:sz w:val="20"/>
                <w:szCs w:val="20"/>
              </w:rPr>
              <w:t xml:space="preserve"> </w:t>
            </w:r>
            <w:proofErr w:type="spellStart"/>
            <w:r>
              <w:rPr>
                <w:rFonts w:cs="Arial"/>
                <w:b/>
                <w:sz w:val="20"/>
                <w:szCs w:val="20"/>
              </w:rPr>
              <w:t>p</w:t>
            </w:r>
            <w:r w:rsidRPr="006D2727">
              <w:rPr>
                <w:rFonts w:cs="Arial"/>
                <w:b/>
                <w:sz w:val="20"/>
                <w:szCs w:val="20"/>
              </w:rPr>
              <w:t>eriod</w:t>
            </w:r>
            <w:r>
              <w:rPr>
                <w:rFonts w:cs="Arial"/>
                <w:sz w:val="20"/>
                <w:szCs w:val="20"/>
                <w:vertAlign w:val="superscript"/>
              </w:rPr>
              <w:t>ix</w:t>
            </w:r>
            <w:proofErr w:type="spellEnd"/>
          </w:p>
        </w:tc>
        <w:tc>
          <w:tcPr>
            <w:tcW w:w="3544" w:type="dxa"/>
            <w:gridSpan w:val="4"/>
            <w:tcBorders>
              <w:top w:val="single" w:sz="4" w:space="0" w:color="auto"/>
              <w:left w:val="single" w:sz="4" w:space="0" w:color="auto"/>
              <w:bottom w:val="single" w:sz="4" w:space="0" w:color="auto"/>
              <w:right w:val="single" w:sz="4" w:space="0" w:color="auto"/>
            </w:tcBorders>
            <w:vAlign w:val="center"/>
          </w:tcPr>
          <w:p w:rsidR="0075184C" w:rsidRPr="0075184C" w:rsidRDefault="0075184C" w:rsidP="00D276DC">
            <w:pPr>
              <w:rPr>
                <w:rFonts w:cs="Arial"/>
                <w:b/>
                <w:sz w:val="20"/>
                <w:szCs w:val="20"/>
                <w:lang w:val="en-US"/>
              </w:rPr>
            </w:pPr>
            <w:r w:rsidRPr="0075184C">
              <w:rPr>
                <w:rFonts w:cs="Arial"/>
                <w:b/>
                <w:sz w:val="20"/>
                <w:szCs w:val="20"/>
                <w:lang w:val="en-US"/>
              </w:rPr>
              <w:t>Number of shares that may be acquired if the instrument is exercised/converted.</w:t>
            </w:r>
          </w:p>
        </w:tc>
        <w:tc>
          <w:tcPr>
            <w:tcW w:w="1706" w:type="dxa"/>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 of </w:t>
            </w:r>
            <w:proofErr w:type="spellStart"/>
            <w:r>
              <w:rPr>
                <w:rFonts w:cs="Arial"/>
                <w:b/>
                <w:sz w:val="20"/>
                <w:szCs w:val="20"/>
              </w:rPr>
              <w:t>share</w:t>
            </w:r>
            <w:proofErr w:type="spellEnd"/>
            <w:r>
              <w:rPr>
                <w:rFonts w:cs="Arial"/>
                <w:b/>
                <w:sz w:val="20"/>
                <w:szCs w:val="20"/>
              </w:rPr>
              <w:t xml:space="preserve"> </w:t>
            </w:r>
            <w:proofErr w:type="spellStart"/>
            <w:r>
              <w:rPr>
                <w:rFonts w:cs="Arial"/>
                <w:b/>
                <w:sz w:val="20"/>
                <w:szCs w:val="20"/>
              </w:rPr>
              <w:t>capital</w:t>
            </w:r>
            <w:proofErr w:type="spellEnd"/>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left w:val="nil"/>
              <w:bottom w:val="nil"/>
              <w:right w:val="nil"/>
            </w:tcBorders>
          </w:tcPr>
          <w:p w:rsidR="0075184C" w:rsidRPr="006D2727" w:rsidRDefault="0075184C" w:rsidP="00D276DC">
            <w:pPr>
              <w:rPr>
                <w:rFonts w:cs="Arial"/>
              </w:rPr>
            </w:pPr>
          </w:p>
        </w:tc>
        <w:tc>
          <w:tcPr>
            <w:tcW w:w="1418" w:type="dxa"/>
            <w:gridSpan w:val="2"/>
            <w:tcBorders>
              <w:top w:val="single" w:sz="4" w:space="0" w:color="auto"/>
              <w:left w:val="nil"/>
              <w:bottom w:val="nil"/>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b/>
                <w:sz w:val="20"/>
                <w:szCs w:val="20"/>
              </w:rPr>
            </w:pPr>
            <w:r w:rsidRPr="006D2727">
              <w:rPr>
                <w:rFonts w:cs="Arial"/>
                <w:b/>
                <w:sz w:val="20"/>
                <w:szCs w:val="20"/>
              </w:rPr>
              <w:t xml:space="preserve">SUBTOTAL </w:t>
            </w:r>
            <w:r>
              <w:rPr>
                <w:rFonts w:cs="Arial"/>
                <w:b/>
                <w:sz w:val="20"/>
                <w:szCs w:val="20"/>
              </w:rPr>
              <w:t>7.2.</w:t>
            </w:r>
            <w:r w:rsidRPr="006D2727">
              <w:rPr>
                <w:rFonts w:cs="Arial"/>
                <w:b/>
                <w:sz w:val="20"/>
                <w:szCs w:val="20"/>
              </w:rPr>
              <w:t>B.1</w:t>
            </w:r>
          </w:p>
        </w:tc>
        <w:tc>
          <w:tcPr>
            <w:tcW w:w="3544" w:type="dxa"/>
            <w:gridSpan w:val="4"/>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blPrEx>
          <w:tblBorders>
            <w:top w:val="none" w:sz="0" w:space="0" w:color="auto"/>
            <w:left w:val="none" w:sz="0" w:space="0" w:color="auto"/>
            <w:bottom w:val="none" w:sz="0" w:space="0" w:color="auto"/>
            <w:right w:val="none" w:sz="0" w:space="0" w:color="auto"/>
          </w:tblBorders>
        </w:tblPrEx>
        <w:trPr>
          <w:trHeight w:val="70"/>
          <w:jc w:val="center"/>
        </w:trPr>
        <w:tc>
          <w:tcPr>
            <w:tcW w:w="10729" w:type="dxa"/>
            <w:gridSpan w:val="11"/>
          </w:tcPr>
          <w:p w:rsidR="0075184C" w:rsidRPr="00E1233C" w:rsidRDefault="0075184C" w:rsidP="00D276DC">
            <w:pPr>
              <w:rPr>
                <w:rFonts w:cs="Arial"/>
                <w:sz w:val="6"/>
                <w:szCs w:val="6"/>
              </w:rPr>
            </w:pPr>
          </w:p>
        </w:tc>
      </w:tr>
      <w:tr w:rsidR="0075184C" w:rsidRPr="006D2727" w:rsidTr="00D276DC">
        <w:trPr>
          <w:trHeight w:val="408"/>
          <w:jc w:val="center"/>
        </w:trPr>
        <w:tc>
          <w:tcPr>
            <w:tcW w:w="10729" w:type="dxa"/>
            <w:gridSpan w:val="11"/>
            <w:tcBorders>
              <w:top w:val="single" w:sz="4" w:space="0" w:color="auto"/>
              <w:bottom w:val="single" w:sz="4" w:space="0" w:color="auto"/>
            </w:tcBorders>
            <w:vAlign w:val="center"/>
          </w:tcPr>
          <w:p w:rsidR="0075184C" w:rsidRPr="00D95BE1" w:rsidRDefault="0075184C" w:rsidP="00D276DC">
            <w:pPr>
              <w:rPr>
                <w:rFonts w:cs="Arial"/>
                <w:b/>
                <w:i/>
              </w:rPr>
            </w:pPr>
            <w:r w:rsidRPr="0075184C">
              <w:rPr>
                <w:rFonts w:cs="Arial"/>
                <w:b/>
                <w:i/>
                <w:sz w:val="20"/>
                <w:lang w:val="en-US"/>
              </w:rPr>
              <w:t xml:space="preserve">7.2.B.2: Financial Instruments with similar economic effect acc. to section 29 (4)(2) of the Securities Trading, etc. </w:t>
            </w:r>
            <w:r w:rsidRPr="00D95BE1">
              <w:rPr>
                <w:rFonts w:cs="Arial"/>
                <w:b/>
                <w:i/>
                <w:sz w:val="20"/>
              </w:rPr>
              <w:t>Act</w:t>
            </w:r>
          </w:p>
        </w:tc>
      </w:tr>
      <w:tr w:rsidR="0075184C" w:rsidRPr="006D2727" w:rsidTr="00D276DC">
        <w:trPr>
          <w:jc w:val="center"/>
        </w:trPr>
        <w:tc>
          <w:tcPr>
            <w:tcW w:w="1935" w:type="dxa"/>
            <w:tcBorders>
              <w:top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Type of </w:t>
            </w:r>
            <w:proofErr w:type="spellStart"/>
            <w:r w:rsidRPr="006D2727">
              <w:rPr>
                <w:rFonts w:cs="Arial"/>
                <w:b/>
                <w:sz w:val="20"/>
                <w:szCs w:val="20"/>
              </w:rPr>
              <w:t>financial</w:t>
            </w:r>
            <w:proofErr w:type="spellEnd"/>
            <w:r w:rsidRPr="006D2727">
              <w:rPr>
                <w:rFonts w:cs="Arial"/>
                <w:b/>
                <w:sz w:val="20"/>
                <w:szCs w:val="20"/>
              </w:rPr>
              <w:t xml:space="preserve"> instrument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Expiration</w:t>
            </w:r>
            <w:proofErr w:type="spellEnd"/>
            <w:r w:rsidRPr="006D2727">
              <w:rPr>
                <w:rFonts w:cs="Arial"/>
                <w:b/>
                <w:sz w:val="20"/>
                <w:szCs w:val="20"/>
              </w:rPr>
              <w:br/>
            </w:r>
            <w:proofErr w:type="spellStart"/>
            <w:r w:rsidRPr="006D2727">
              <w:rPr>
                <w:rFonts w:cs="Arial"/>
                <w:b/>
                <w:sz w:val="20"/>
                <w:szCs w:val="20"/>
              </w:rPr>
              <w:t>date</w:t>
            </w:r>
            <w:r w:rsidRPr="003F3252">
              <w:rPr>
                <w:rFonts w:cs="Arial"/>
                <w:sz w:val="20"/>
                <w:szCs w:val="20"/>
                <w:vertAlign w:val="superscript"/>
              </w:rPr>
              <w:t>viii</w:t>
            </w:r>
            <w:proofErr w:type="spellEnd"/>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Exercise</w:t>
            </w:r>
            <w:proofErr w:type="spellEnd"/>
            <w:r w:rsidRPr="006D2727">
              <w:rPr>
                <w:rFonts w:cs="Arial"/>
                <w:b/>
                <w:sz w:val="20"/>
                <w:szCs w:val="20"/>
              </w:rPr>
              <w:t xml:space="preserve">/ </w:t>
            </w:r>
            <w:r w:rsidRPr="006D2727">
              <w:rPr>
                <w:rFonts w:cs="Arial"/>
                <w:b/>
                <w:sz w:val="20"/>
                <w:szCs w:val="20"/>
              </w:rPr>
              <w:br/>
            </w:r>
            <w:proofErr w:type="spellStart"/>
            <w:r>
              <w:rPr>
                <w:rFonts w:cs="Arial"/>
                <w:b/>
                <w:sz w:val="20"/>
                <w:szCs w:val="20"/>
              </w:rPr>
              <w:t>c</w:t>
            </w:r>
            <w:r w:rsidRPr="006D2727">
              <w:rPr>
                <w:rFonts w:cs="Arial"/>
                <w:b/>
                <w:sz w:val="20"/>
                <w:szCs w:val="20"/>
              </w:rPr>
              <w:t>onversion</w:t>
            </w:r>
            <w:proofErr w:type="spellEnd"/>
            <w:r w:rsidRPr="006D2727">
              <w:rPr>
                <w:rFonts w:cs="Arial"/>
                <w:b/>
                <w:sz w:val="20"/>
                <w:szCs w:val="20"/>
              </w:rPr>
              <w:t xml:space="preserve"> </w:t>
            </w:r>
            <w:proofErr w:type="spellStart"/>
            <w:r>
              <w:rPr>
                <w:rFonts w:cs="Arial"/>
                <w:b/>
                <w:sz w:val="20"/>
                <w:szCs w:val="20"/>
              </w:rPr>
              <w:t>p</w:t>
            </w:r>
            <w:r w:rsidRPr="006D2727">
              <w:rPr>
                <w:rFonts w:cs="Arial"/>
                <w:b/>
                <w:sz w:val="20"/>
                <w:szCs w:val="20"/>
              </w:rPr>
              <w:t>eriod</w:t>
            </w:r>
            <w:r>
              <w:rPr>
                <w:rFonts w:cs="Arial"/>
                <w:sz w:val="20"/>
                <w:szCs w:val="20"/>
                <w:vertAlign w:val="superscript"/>
              </w:rPr>
              <w:t>ix</w:t>
            </w:r>
            <w:proofErr w:type="spellEnd"/>
          </w:p>
        </w:tc>
        <w:tc>
          <w:tcPr>
            <w:tcW w:w="1746"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Physical</w:t>
            </w:r>
            <w:proofErr w:type="spellEnd"/>
            <w:r w:rsidRPr="006D2727">
              <w:rPr>
                <w:rFonts w:cs="Arial"/>
                <w:b/>
                <w:sz w:val="20"/>
                <w:szCs w:val="20"/>
              </w:rPr>
              <w:t xml:space="preserve"> or </w:t>
            </w:r>
            <w:proofErr w:type="spellStart"/>
            <w:r w:rsidRPr="006D2727">
              <w:rPr>
                <w:rFonts w:cs="Arial"/>
                <w:b/>
                <w:sz w:val="20"/>
                <w:szCs w:val="20"/>
              </w:rPr>
              <w:t>cash</w:t>
            </w:r>
            <w:proofErr w:type="spellEnd"/>
            <w:r w:rsidRPr="006D2727">
              <w:rPr>
                <w:rFonts w:cs="Arial"/>
                <w:b/>
                <w:sz w:val="20"/>
                <w:szCs w:val="20"/>
              </w:rPr>
              <w:t xml:space="preserve"> </w:t>
            </w:r>
            <w:proofErr w:type="spellStart"/>
            <w:r w:rsidRPr="006D2727">
              <w:rPr>
                <w:rFonts w:cs="Arial"/>
                <w:b/>
                <w:sz w:val="20"/>
                <w:szCs w:val="20"/>
              </w:rPr>
              <w:t>settlement</w:t>
            </w:r>
            <w:r>
              <w:rPr>
                <w:rFonts w:cs="Arial"/>
                <w:sz w:val="20"/>
                <w:szCs w:val="20"/>
                <w:vertAlign w:val="superscript"/>
              </w:rPr>
              <w:t>x</w:t>
            </w:r>
            <w:proofErr w:type="spellEnd"/>
          </w:p>
        </w:tc>
        <w:tc>
          <w:tcPr>
            <w:tcW w:w="1798" w:type="dxa"/>
            <w:gridSpan w:val="2"/>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proofErr w:type="spellStart"/>
            <w:r w:rsidRPr="006D2727">
              <w:rPr>
                <w:rFonts w:cs="Arial"/>
                <w:b/>
                <w:sz w:val="20"/>
                <w:szCs w:val="20"/>
              </w:rPr>
              <w:t>Number</w:t>
            </w:r>
            <w:proofErr w:type="spellEnd"/>
            <w:r w:rsidRPr="006D2727">
              <w:rPr>
                <w:rFonts w:cs="Arial"/>
                <w:b/>
                <w:sz w:val="20"/>
                <w:szCs w:val="20"/>
              </w:rPr>
              <w:t xml:space="preserve"> of </w:t>
            </w:r>
            <w:proofErr w:type="spellStart"/>
            <w:r>
              <w:rPr>
                <w:rFonts w:cs="Arial"/>
                <w:b/>
                <w:sz w:val="20"/>
                <w:szCs w:val="20"/>
              </w:rPr>
              <w:t>shares</w:t>
            </w:r>
            <w:proofErr w:type="spellEnd"/>
          </w:p>
        </w:tc>
        <w:tc>
          <w:tcPr>
            <w:tcW w:w="1706" w:type="dxa"/>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r w:rsidRPr="006D2727">
              <w:rPr>
                <w:rFonts w:cs="Arial"/>
                <w:b/>
                <w:sz w:val="20"/>
                <w:szCs w:val="20"/>
              </w:rPr>
              <w:t xml:space="preserve">% of </w:t>
            </w:r>
            <w:proofErr w:type="spellStart"/>
            <w:r>
              <w:rPr>
                <w:rFonts w:cs="Arial"/>
                <w:b/>
                <w:sz w:val="20"/>
                <w:szCs w:val="20"/>
              </w:rPr>
              <w:t>share</w:t>
            </w:r>
            <w:proofErr w:type="spellEnd"/>
            <w:r>
              <w:rPr>
                <w:rFonts w:cs="Arial"/>
                <w:b/>
                <w:sz w:val="20"/>
                <w:szCs w:val="20"/>
              </w:rPr>
              <w:t xml:space="preserve"> </w:t>
            </w:r>
            <w:proofErr w:type="spellStart"/>
            <w:r>
              <w:rPr>
                <w:rFonts w:cs="Arial"/>
                <w:b/>
                <w:sz w:val="20"/>
                <w:szCs w:val="20"/>
              </w:rPr>
              <w:t>capital</w:t>
            </w:r>
            <w:proofErr w:type="spellEnd"/>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75184C" w:rsidRPr="006D2727" w:rsidRDefault="0075184C" w:rsidP="00D276DC">
            <w:pPr>
              <w:rPr>
                <w:rFonts w:cs="Arial"/>
                <w:b/>
                <w:sz w:val="20"/>
                <w:szCs w:val="20"/>
              </w:rPr>
            </w:pPr>
          </w:p>
        </w:tc>
        <w:tc>
          <w:tcPr>
            <w:tcW w:w="1798" w:type="dxa"/>
            <w:gridSpan w:val="2"/>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p>
        </w:tc>
        <w:tc>
          <w:tcPr>
            <w:tcW w:w="1706" w:type="dxa"/>
            <w:tcBorders>
              <w:top w:val="single" w:sz="4" w:space="0" w:color="auto"/>
              <w:left w:val="single" w:sz="4" w:space="0" w:color="auto"/>
              <w:bottom w:val="single" w:sz="4" w:space="0" w:color="auto"/>
            </w:tcBorders>
            <w:vAlign w:val="center"/>
          </w:tcPr>
          <w:p w:rsidR="0075184C" w:rsidRPr="006D2727" w:rsidRDefault="0075184C" w:rsidP="00D276DC">
            <w:pPr>
              <w:rPr>
                <w:rFonts w:cs="Arial"/>
                <w:b/>
                <w:sz w:val="20"/>
                <w:szCs w:val="20"/>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4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98"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bottom w:val="single" w:sz="4" w:space="0" w:color="auto"/>
              <w:right w:val="single" w:sz="4" w:space="0" w:color="auto"/>
            </w:tcBorders>
          </w:tcPr>
          <w:p w:rsidR="0075184C" w:rsidRPr="006D2727" w:rsidRDefault="0075184C" w:rsidP="00D276DC">
            <w:pPr>
              <w:rPr>
                <w:rFonts w:cs="Arial"/>
              </w:rPr>
            </w:pPr>
          </w:p>
        </w:tc>
        <w:tc>
          <w:tcPr>
            <w:tcW w:w="1418"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2126" w:type="dxa"/>
            <w:gridSpan w:val="3"/>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4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c>
          <w:tcPr>
            <w:tcW w:w="1798"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tcBorders>
          </w:tcPr>
          <w:p w:rsidR="0075184C" w:rsidRPr="006D2727" w:rsidRDefault="0075184C" w:rsidP="00D276DC">
            <w:pPr>
              <w:rPr>
                <w:rFonts w:cs="Arial"/>
              </w:rPr>
            </w:pPr>
          </w:p>
        </w:tc>
      </w:tr>
      <w:tr w:rsidR="0075184C" w:rsidRPr="006D2727" w:rsidTr="00D276DC">
        <w:trPr>
          <w:trHeight w:val="481"/>
          <w:jc w:val="center"/>
        </w:trPr>
        <w:tc>
          <w:tcPr>
            <w:tcW w:w="1935" w:type="dxa"/>
            <w:tcBorders>
              <w:top w:val="single" w:sz="4" w:space="0" w:color="auto"/>
              <w:left w:val="nil"/>
              <w:bottom w:val="nil"/>
              <w:right w:val="nil"/>
            </w:tcBorders>
          </w:tcPr>
          <w:p w:rsidR="0075184C" w:rsidRPr="006D2727" w:rsidRDefault="0075184C" w:rsidP="00D276DC">
            <w:pPr>
              <w:rPr>
                <w:rFonts w:cs="Arial"/>
              </w:rPr>
            </w:pPr>
          </w:p>
        </w:tc>
        <w:tc>
          <w:tcPr>
            <w:tcW w:w="1620" w:type="dxa"/>
            <w:gridSpan w:val="3"/>
            <w:tcBorders>
              <w:top w:val="single" w:sz="4" w:space="0" w:color="auto"/>
              <w:left w:val="nil"/>
              <w:bottom w:val="nil"/>
              <w:right w:val="nil"/>
            </w:tcBorders>
          </w:tcPr>
          <w:p w:rsidR="0075184C" w:rsidRPr="006D2727" w:rsidRDefault="0075184C" w:rsidP="00D276DC">
            <w:pPr>
              <w:rPr>
                <w:rFonts w:cs="Arial"/>
              </w:rPr>
            </w:pPr>
          </w:p>
        </w:tc>
        <w:tc>
          <w:tcPr>
            <w:tcW w:w="1924" w:type="dxa"/>
            <w:gridSpan w:val="2"/>
            <w:tcBorders>
              <w:top w:val="single" w:sz="4" w:space="0" w:color="auto"/>
              <w:left w:val="nil"/>
              <w:bottom w:val="nil"/>
              <w:right w:val="single" w:sz="4" w:space="0" w:color="auto"/>
            </w:tcBorders>
          </w:tcPr>
          <w:p w:rsidR="0075184C" w:rsidRPr="006D2727" w:rsidRDefault="0075184C" w:rsidP="00D276DC">
            <w:pPr>
              <w:rPr>
                <w:rFonts w:cs="Arial"/>
                <w:b/>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r w:rsidRPr="006D2727">
              <w:rPr>
                <w:rFonts w:cs="Arial"/>
                <w:b/>
                <w:sz w:val="20"/>
                <w:szCs w:val="20"/>
              </w:rPr>
              <w:t xml:space="preserve">SUBTOTAL </w:t>
            </w:r>
            <w:r>
              <w:rPr>
                <w:rFonts w:cs="Arial"/>
                <w:b/>
                <w:sz w:val="20"/>
                <w:szCs w:val="20"/>
              </w:rPr>
              <w:t>7.2.</w:t>
            </w:r>
            <w:r w:rsidRPr="006D2727">
              <w:rPr>
                <w:rFonts w:cs="Arial"/>
                <w:b/>
                <w:sz w:val="20"/>
                <w:szCs w:val="20"/>
              </w:rPr>
              <w:t>B.2</w:t>
            </w:r>
          </w:p>
        </w:tc>
        <w:tc>
          <w:tcPr>
            <w:tcW w:w="1798" w:type="dxa"/>
            <w:gridSpan w:val="2"/>
            <w:tcBorders>
              <w:top w:val="single" w:sz="4" w:space="0" w:color="auto"/>
              <w:left w:val="single" w:sz="4" w:space="0" w:color="auto"/>
              <w:bottom w:val="single" w:sz="4" w:space="0" w:color="auto"/>
            </w:tcBorders>
          </w:tcPr>
          <w:p w:rsidR="0075184C" w:rsidRPr="006D2727" w:rsidRDefault="0075184C" w:rsidP="00D276DC">
            <w:pPr>
              <w:rPr>
                <w:rFonts w:cs="Arial"/>
              </w:rPr>
            </w:pPr>
          </w:p>
        </w:tc>
        <w:tc>
          <w:tcPr>
            <w:tcW w:w="1706" w:type="dxa"/>
            <w:tcBorders>
              <w:top w:val="single" w:sz="4" w:space="0" w:color="auto"/>
              <w:left w:val="single" w:sz="4" w:space="0" w:color="auto"/>
              <w:bottom w:val="single" w:sz="4" w:space="0" w:color="auto"/>
              <w:right w:val="single" w:sz="4" w:space="0" w:color="auto"/>
            </w:tcBorders>
          </w:tcPr>
          <w:p w:rsidR="0075184C" w:rsidRPr="006D2727" w:rsidRDefault="0075184C" w:rsidP="00D276DC">
            <w:pPr>
              <w:rPr>
                <w:rFonts w:cs="Arial"/>
              </w:rPr>
            </w:pPr>
          </w:p>
        </w:tc>
      </w:tr>
    </w:tbl>
    <w:p w:rsidR="0075184C" w:rsidRDefault="0075184C" w:rsidP="0075184C"/>
    <w:p w:rsidR="0075184C" w:rsidRPr="006D2727" w:rsidRDefault="0075184C" w:rsidP="0075184C">
      <w:r>
        <w:br w:type="page"/>
      </w:r>
    </w:p>
    <w:tbl>
      <w:tblPr>
        <w:tblW w:w="10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2655"/>
        <w:gridCol w:w="2655"/>
        <w:gridCol w:w="2655"/>
      </w:tblGrid>
      <w:tr w:rsidR="0075184C" w:rsidRPr="004F1FC0" w:rsidTr="00A77C87">
        <w:trPr>
          <w:trHeight w:val="1047"/>
        </w:trPr>
        <w:tc>
          <w:tcPr>
            <w:tcW w:w="10722" w:type="dxa"/>
            <w:gridSpan w:val="4"/>
            <w:tcBorders>
              <w:bottom w:val="nil"/>
            </w:tcBorders>
          </w:tcPr>
          <w:p w:rsidR="0075184C" w:rsidRPr="0075184C" w:rsidRDefault="0075184C" w:rsidP="00D276DC">
            <w:pPr>
              <w:rPr>
                <w:rFonts w:cs="Arial"/>
                <w:b/>
                <w:lang w:val="en-US"/>
              </w:rPr>
            </w:pPr>
            <w:r w:rsidRPr="0075184C">
              <w:rPr>
                <w:rFonts w:cs="Arial"/>
                <w:b/>
                <w:lang w:val="en-US"/>
              </w:rPr>
              <w:lastRenderedPageBreak/>
              <w:t xml:space="preserve">8. Information in relation to the person subject to the notification obligation </w:t>
            </w:r>
            <w:r w:rsidRPr="0075184C">
              <w:rPr>
                <w:rFonts w:cs="Arial"/>
                <w:lang w:val="en-US"/>
              </w:rPr>
              <w:t>(please tick the applicable box)</w:t>
            </w:r>
            <w:r w:rsidRPr="0075184C">
              <w:rPr>
                <w:rFonts w:cs="Arial"/>
                <w:b/>
                <w:lang w:val="en-US"/>
              </w:rPr>
              <w:t>:</w:t>
            </w:r>
          </w:p>
          <w:p w:rsidR="0075184C" w:rsidRPr="0075184C" w:rsidRDefault="0075184C" w:rsidP="00D276DC">
            <w:pPr>
              <w:rPr>
                <w:rFonts w:cs="Arial"/>
                <w:b/>
                <w:lang w:val="en-US"/>
              </w:rPr>
            </w:pPr>
          </w:p>
          <w:p w:rsidR="0075184C" w:rsidRPr="004F1FC0" w:rsidRDefault="004F1FC0" w:rsidP="004F1FC0">
            <w:pPr>
              <w:rPr>
                <w:rFonts w:cs="Arial"/>
                <w:b/>
                <w:sz w:val="16"/>
                <w:szCs w:val="16"/>
                <w:lang w:val="en-US"/>
              </w:rPr>
            </w:pPr>
            <w:sdt>
              <w:sdtPr>
                <w:rPr>
                  <w:rFonts w:cs="Arial"/>
                  <w:b/>
                  <w:lang w:val="en-US"/>
                </w:rPr>
                <w:id w:val="1032075426"/>
                <w14:checkbox>
                  <w14:checked w14:val="0"/>
                  <w14:checkedState w14:val="2612" w14:font="MS Gothic"/>
                  <w14:uncheckedState w14:val="2610" w14:font="MS Gothic"/>
                </w14:checkbox>
              </w:sdtPr>
              <w:sdtContent>
                <w:r>
                  <w:rPr>
                    <w:rFonts w:ascii="MS Gothic" w:eastAsia="MS Gothic" w:hAnsi="MS Gothic" w:cs="Arial" w:hint="eastAsia"/>
                    <w:b/>
                    <w:lang w:val="en-US"/>
                  </w:rPr>
                  <w:t>☐</w:t>
                </w:r>
              </w:sdtContent>
            </w:sdt>
            <w:r>
              <w:rPr>
                <w:rFonts w:cs="Arial"/>
                <w:b/>
                <w:lang w:val="en-US"/>
              </w:rPr>
              <w:t xml:space="preserve"> </w:t>
            </w:r>
            <w:r w:rsidR="0075184C" w:rsidRPr="004F1FC0">
              <w:rPr>
                <w:rFonts w:cs="Arial"/>
                <w:b/>
                <w:lang w:val="en-US"/>
              </w:rPr>
              <w:t>Person subject to the notification obligation is not controlled by any natural person or legal entity and does not control any other undertaking(s) holding directly or indirectly an interest in the (underlying) issuer</w:t>
            </w:r>
            <w:r w:rsidR="0075184C" w:rsidRPr="003F3252">
              <w:rPr>
                <w:rStyle w:val="Slutnotehenvisning"/>
              </w:rPr>
              <w:endnoteReference w:id="11"/>
            </w:r>
            <w:r w:rsidR="0075184C" w:rsidRPr="004F1FC0">
              <w:rPr>
                <w:rFonts w:cs="Arial"/>
                <w:b/>
                <w:lang w:val="en-US"/>
              </w:rPr>
              <w:t>.</w:t>
            </w:r>
          </w:p>
          <w:p w:rsidR="0075184C" w:rsidRPr="0075184C" w:rsidRDefault="0075184C" w:rsidP="00D276DC">
            <w:pPr>
              <w:rPr>
                <w:rFonts w:cs="Arial"/>
                <w:b/>
                <w:lang w:val="en-US"/>
              </w:rPr>
            </w:pPr>
          </w:p>
          <w:p w:rsidR="0075184C" w:rsidRPr="004F1FC0" w:rsidRDefault="004F1FC0" w:rsidP="004F1FC0">
            <w:pPr>
              <w:rPr>
                <w:rFonts w:cs="Arial"/>
                <w:b/>
                <w:lang w:val="en-US"/>
              </w:rPr>
            </w:pPr>
            <w:sdt>
              <w:sdtPr>
                <w:rPr>
                  <w:rFonts w:cs="Arial"/>
                  <w:b/>
                  <w:lang w:val="en-US"/>
                </w:rPr>
                <w:id w:val="-527559102"/>
                <w14:checkbox>
                  <w14:checked w14:val="0"/>
                  <w14:checkedState w14:val="2612" w14:font="MS Gothic"/>
                  <w14:uncheckedState w14:val="2610" w14:font="MS Gothic"/>
                </w14:checkbox>
              </w:sdtPr>
              <w:sdtContent>
                <w:r>
                  <w:rPr>
                    <w:rFonts w:ascii="MS Gothic" w:eastAsia="MS Gothic" w:hAnsi="MS Gothic" w:cs="Arial" w:hint="eastAsia"/>
                    <w:b/>
                    <w:lang w:val="en-US"/>
                  </w:rPr>
                  <w:t>☐</w:t>
                </w:r>
              </w:sdtContent>
            </w:sdt>
            <w:r w:rsidRPr="004F1FC0">
              <w:rPr>
                <w:rFonts w:cs="Arial"/>
                <w:b/>
                <w:lang w:val="en-US"/>
              </w:rPr>
              <w:t xml:space="preserve"> </w:t>
            </w:r>
            <w:r w:rsidR="0075184C" w:rsidRPr="004F1FC0">
              <w:rPr>
                <w:rFonts w:cs="Arial"/>
                <w:b/>
                <w:u w:val="single"/>
                <w:lang w:val="en-US"/>
              </w:rPr>
              <w:t>Full</w:t>
            </w:r>
            <w:r w:rsidR="0075184C" w:rsidRPr="004F1FC0">
              <w:rPr>
                <w:rFonts w:cs="Arial"/>
                <w:b/>
                <w:lang w:val="en-US"/>
              </w:rPr>
              <w:t xml:space="preserve"> chain of controlled undertakings through which the voting rights and/or the</w:t>
            </w:r>
            <w:r w:rsidR="0075184C" w:rsidRPr="004F1FC0">
              <w:rPr>
                <w:rFonts w:cs="Arial"/>
                <w:b/>
                <w:lang w:val="en-US"/>
              </w:rPr>
              <w:br/>
              <w:t>financial instruments are effectively held starting with the ultimate controlling natural person or legal entity</w:t>
            </w:r>
            <w:r w:rsidR="0075184C" w:rsidRPr="003F3252">
              <w:rPr>
                <w:rStyle w:val="Slutnotehenvisning"/>
              </w:rPr>
              <w:endnoteReference w:id="12"/>
            </w:r>
            <w:r w:rsidR="0075184C" w:rsidRPr="004F1FC0">
              <w:rPr>
                <w:rFonts w:cs="Arial"/>
                <w:b/>
                <w:lang w:val="en-US"/>
              </w:rPr>
              <w:t>:</w:t>
            </w:r>
          </w:p>
          <w:p w:rsidR="0075184C" w:rsidRPr="0075184C" w:rsidRDefault="0075184C" w:rsidP="00D276DC">
            <w:pPr>
              <w:rPr>
                <w:rFonts w:cs="Arial"/>
                <w:b/>
                <w:lang w:val="en-US"/>
              </w:rPr>
            </w:pPr>
          </w:p>
        </w:tc>
      </w:tr>
      <w:tr w:rsidR="0075184C" w:rsidRPr="004F1FC0" w:rsidTr="00A77C87">
        <w:trPr>
          <w:trHeight w:val="1149"/>
        </w:trPr>
        <w:tc>
          <w:tcPr>
            <w:tcW w:w="2757" w:type="dxa"/>
            <w:tcBorders>
              <w:top w:val="nil"/>
            </w:tcBorders>
            <w:vAlign w:val="center"/>
          </w:tcPr>
          <w:p w:rsidR="0075184C" w:rsidRPr="006D2727" w:rsidRDefault="0075184C" w:rsidP="00D276DC">
            <w:pPr>
              <w:jc w:val="center"/>
              <w:rPr>
                <w:rFonts w:cs="Arial"/>
                <w:b/>
                <w:sz w:val="16"/>
                <w:szCs w:val="16"/>
              </w:rPr>
            </w:pPr>
            <w:proofErr w:type="spellStart"/>
            <w:r w:rsidRPr="006D2727">
              <w:rPr>
                <w:rFonts w:cs="Arial"/>
                <w:b/>
              </w:rPr>
              <w:t>Name</w:t>
            </w:r>
            <w:proofErr w:type="spellEnd"/>
            <w:r w:rsidRPr="003F3252">
              <w:rPr>
                <w:rStyle w:val="Slutnotehenvisning"/>
              </w:rPr>
              <w:endnoteReference w:id="13"/>
            </w:r>
          </w:p>
        </w:tc>
        <w:tc>
          <w:tcPr>
            <w:tcW w:w="2655" w:type="dxa"/>
            <w:tcBorders>
              <w:top w:val="nil"/>
            </w:tcBorders>
            <w:vAlign w:val="center"/>
          </w:tcPr>
          <w:p w:rsidR="0075184C" w:rsidRPr="0075184C" w:rsidRDefault="0075184C" w:rsidP="00D276DC">
            <w:pPr>
              <w:jc w:val="center"/>
              <w:rPr>
                <w:rFonts w:cs="Arial"/>
                <w:b/>
                <w:lang w:val="en-US"/>
              </w:rPr>
            </w:pPr>
            <w:r w:rsidRPr="0075184C">
              <w:rPr>
                <w:rFonts w:cs="Arial"/>
                <w:b/>
                <w:lang w:val="en-US"/>
              </w:rPr>
              <w:t>% of voting rights if it equals or is higher than the notifiable threshold</w:t>
            </w:r>
          </w:p>
        </w:tc>
        <w:tc>
          <w:tcPr>
            <w:tcW w:w="2655" w:type="dxa"/>
            <w:tcBorders>
              <w:top w:val="nil"/>
            </w:tcBorders>
            <w:vAlign w:val="center"/>
          </w:tcPr>
          <w:p w:rsidR="0075184C" w:rsidRPr="0075184C" w:rsidRDefault="0075184C" w:rsidP="00D276DC">
            <w:pPr>
              <w:jc w:val="center"/>
              <w:rPr>
                <w:rFonts w:cs="Arial"/>
                <w:b/>
                <w:lang w:val="en-US"/>
              </w:rPr>
            </w:pPr>
            <w:r w:rsidRPr="0075184C">
              <w:rPr>
                <w:rFonts w:cs="Arial"/>
                <w:b/>
                <w:lang w:val="en-US"/>
              </w:rPr>
              <w:t>% of voting rights through financial instruments if it equals or is higher than the notifiable threshold</w:t>
            </w:r>
          </w:p>
        </w:tc>
        <w:tc>
          <w:tcPr>
            <w:tcW w:w="2655" w:type="dxa"/>
            <w:tcBorders>
              <w:top w:val="nil"/>
            </w:tcBorders>
            <w:vAlign w:val="center"/>
          </w:tcPr>
          <w:p w:rsidR="0075184C" w:rsidRPr="0075184C" w:rsidRDefault="0075184C" w:rsidP="00D276DC">
            <w:pPr>
              <w:jc w:val="center"/>
              <w:rPr>
                <w:rFonts w:cs="Arial"/>
                <w:b/>
                <w:lang w:val="en-US"/>
              </w:rPr>
            </w:pPr>
            <w:r w:rsidRPr="0075184C">
              <w:rPr>
                <w:rFonts w:cs="Arial"/>
                <w:b/>
                <w:lang w:val="en-US"/>
              </w:rPr>
              <w:t>Total of both if it equals or is higher than the notifiable threshold</w:t>
            </w:r>
          </w:p>
        </w:tc>
      </w:tr>
      <w:tr w:rsidR="0075184C" w:rsidRPr="004F1FC0" w:rsidTr="00A77C87">
        <w:trPr>
          <w:trHeight w:val="440"/>
        </w:trPr>
        <w:tc>
          <w:tcPr>
            <w:tcW w:w="2757"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r>
      <w:tr w:rsidR="0075184C" w:rsidRPr="004F1FC0" w:rsidTr="00A77C87">
        <w:trPr>
          <w:trHeight w:val="440"/>
        </w:trPr>
        <w:tc>
          <w:tcPr>
            <w:tcW w:w="2757"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r>
      <w:tr w:rsidR="0075184C" w:rsidRPr="004F1FC0" w:rsidTr="00A77C87">
        <w:trPr>
          <w:trHeight w:val="440"/>
        </w:trPr>
        <w:tc>
          <w:tcPr>
            <w:tcW w:w="2757"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r>
      <w:tr w:rsidR="0075184C" w:rsidRPr="004F1FC0" w:rsidTr="00A77C87">
        <w:trPr>
          <w:trHeight w:val="440"/>
        </w:trPr>
        <w:tc>
          <w:tcPr>
            <w:tcW w:w="2757"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r>
      <w:tr w:rsidR="0075184C" w:rsidRPr="004F1FC0" w:rsidTr="00A77C87">
        <w:trPr>
          <w:trHeight w:val="440"/>
        </w:trPr>
        <w:tc>
          <w:tcPr>
            <w:tcW w:w="2757"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c>
          <w:tcPr>
            <w:tcW w:w="2655" w:type="dxa"/>
          </w:tcPr>
          <w:p w:rsidR="0075184C" w:rsidRPr="0075184C" w:rsidRDefault="0075184C" w:rsidP="00D276DC">
            <w:pPr>
              <w:rPr>
                <w:rFonts w:cs="Arial"/>
                <w:b/>
                <w:lang w:val="en-US"/>
              </w:rPr>
            </w:pPr>
          </w:p>
        </w:tc>
      </w:tr>
      <w:tr w:rsidR="0075184C" w:rsidRPr="004F1FC0" w:rsidTr="00A77C87">
        <w:trPr>
          <w:trHeight w:val="419"/>
        </w:trPr>
        <w:tc>
          <w:tcPr>
            <w:tcW w:w="10722" w:type="dxa"/>
            <w:gridSpan w:val="4"/>
            <w:tcBorders>
              <w:left w:val="nil"/>
              <w:right w:val="nil"/>
            </w:tcBorders>
          </w:tcPr>
          <w:p w:rsidR="0075184C" w:rsidRPr="0075184C" w:rsidRDefault="0075184C" w:rsidP="00D276DC">
            <w:pPr>
              <w:rPr>
                <w:rFonts w:cs="Arial"/>
                <w:b/>
                <w:lang w:val="en-US"/>
              </w:rPr>
            </w:pPr>
          </w:p>
        </w:tc>
      </w:tr>
      <w:tr w:rsidR="0075184C" w:rsidRPr="004F1FC0" w:rsidTr="00A77C87">
        <w:trPr>
          <w:trHeight w:val="694"/>
        </w:trPr>
        <w:tc>
          <w:tcPr>
            <w:tcW w:w="10722" w:type="dxa"/>
            <w:gridSpan w:val="4"/>
            <w:vAlign w:val="center"/>
          </w:tcPr>
          <w:p w:rsidR="0075184C" w:rsidRPr="0075184C" w:rsidRDefault="0075184C" w:rsidP="00D276DC">
            <w:pPr>
              <w:autoSpaceDE w:val="0"/>
              <w:autoSpaceDN w:val="0"/>
              <w:adjustRightInd w:val="0"/>
              <w:rPr>
                <w:rFonts w:ascii="TimesNewRomanPSMT" w:hAnsi="TimesNewRomanPSMT" w:cs="TimesNewRomanPSMT"/>
                <w:b/>
                <w:lang w:val="en-US"/>
              </w:rPr>
            </w:pPr>
            <w:r w:rsidRPr="0075184C">
              <w:rPr>
                <w:rFonts w:cs="Arial"/>
                <w:b/>
                <w:lang w:val="en-US"/>
              </w:rPr>
              <w:t xml:space="preserve">9. </w:t>
            </w:r>
            <w:r w:rsidRPr="0075184C">
              <w:rPr>
                <w:rFonts w:ascii="TimesNewRomanPSMT" w:hAnsi="TimesNewRomanPSMT" w:cs="TimesNewRomanPSMT"/>
                <w:b/>
                <w:lang w:val="en-US"/>
              </w:rPr>
              <w:t>In case of proxy voting: [</w:t>
            </w:r>
            <w:r w:rsidRPr="0075184C">
              <w:rPr>
                <w:rFonts w:ascii="TimesNewRomanPS-ItalicMT" w:hAnsi="TimesNewRomanPS-ItalicMT" w:cs="TimesNewRomanPS-ItalicMT"/>
                <w:b/>
                <w:i/>
                <w:iCs/>
                <w:lang w:val="en-US"/>
              </w:rPr>
              <w:t>name of the proxy holder</w:t>
            </w:r>
            <w:r w:rsidRPr="0075184C">
              <w:rPr>
                <w:rFonts w:ascii="TimesNewRomanPSMT" w:hAnsi="TimesNewRomanPSMT" w:cs="TimesNewRomanPSMT"/>
                <w:b/>
                <w:lang w:val="en-US"/>
              </w:rPr>
              <w:t xml:space="preserve">] will cease to hold [% and </w:t>
            </w:r>
            <w:r w:rsidRPr="0075184C">
              <w:rPr>
                <w:rFonts w:ascii="TimesNewRomanPS-ItalicMT" w:hAnsi="TimesNewRomanPS-ItalicMT" w:cs="TimesNewRomanPS-ItalicMT"/>
                <w:b/>
                <w:i/>
                <w:iCs/>
                <w:lang w:val="en-US"/>
              </w:rPr>
              <w:t>number</w:t>
            </w:r>
            <w:r w:rsidRPr="0075184C">
              <w:rPr>
                <w:rFonts w:ascii="TimesNewRomanPSMT" w:hAnsi="TimesNewRomanPSMT" w:cs="TimesNewRomanPSMT"/>
                <w:b/>
                <w:lang w:val="en-US"/>
              </w:rPr>
              <w:t>] voting rights as of [</w:t>
            </w:r>
            <w:r w:rsidRPr="0075184C">
              <w:rPr>
                <w:rFonts w:ascii="TimesNewRomanPS-ItalicMT" w:hAnsi="TimesNewRomanPS-ItalicMT" w:cs="TimesNewRomanPS-ItalicMT"/>
                <w:b/>
                <w:i/>
                <w:iCs/>
                <w:lang w:val="en-US"/>
              </w:rPr>
              <w:t>date</w:t>
            </w:r>
            <w:r w:rsidRPr="0075184C">
              <w:rPr>
                <w:rFonts w:ascii="TimesNewRomanPSMT" w:hAnsi="TimesNewRomanPSMT" w:cs="TimesNewRomanPSMT"/>
                <w:b/>
                <w:lang w:val="en-US"/>
              </w:rPr>
              <w:t>]</w:t>
            </w:r>
          </w:p>
          <w:p w:rsidR="0075184C" w:rsidRPr="0075184C" w:rsidRDefault="0075184C" w:rsidP="00D276DC">
            <w:pPr>
              <w:rPr>
                <w:rFonts w:ascii="TimesNewRomanPSMT" w:hAnsi="TimesNewRomanPSMT" w:cs="TimesNewRomanPSMT"/>
                <w:b/>
                <w:lang w:val="en-US"/>
              </w:rPr>
            </w:pPr>
          </w:p>
          <w:p w:rsidR="0075184C" w:rsidRPr="0075184C" w:rsidRDefault="0075184C" w:rsidP="00D276DC">
            <w:pPr>
              <w:rPr>
                <w:rFonts w:cs="Arial"/>
                <w:b/>
                <w:lang w:val="en-US"/>
              </w:rPr>
            </w:pPr>
          </w:p>
        </w:tc>
      </w:tr>
      <w:tr w:rsidR="0075184C" w:rsidRPr="004F1FC0" w:rsidTr="00A77C87">
        <w:trPr>
          <w:trHeight w:val="383"/>
        </w:trPr>
        <w:tc>
          <w:tcPr>
            <w:tcW w:w="10722" w:type="dxa"/>
            <w:gridSpan w:val="4"/>
            <w:tcBorders>
              <w:left w:val="nil"/>
              <w:bottom w:val="nil"/>
              <w:right w:val="nil"/>
            </w:tcBorders>
            <w:vAlign w:val="center"/>
          </w:tcPr>
          <w:p w:rsidR="0075184C" w:rsidRPr="0075184C" w:rsidRDefault="0075184C" w:rsidP="00D276DC">
            <w:pPr>
              <w:rPr>
                <w:rFonts w:cs="Arial"/>
                <w:lang w:val="en-US"/>
              </w:rPr>
            </w:pPr>
          </w:p>
        </w:tc>
      </w:tr>
      <w:tr w:rsidR="0075184C" w:rsidRPr="006D2727" w:rsidTr="00A77C87">
        <w:trPr>
          <w:trHeight w:val="950"/>
        </w:trPr>
        <w:tc>
          <w:tcPr>
            <w:tcW w:w="10722" w:type="dxa"/>
            <w:gridSpan w:val="4"/>
          </w:tcPr>
          <w:p w:rsidR="0075184C" w:rsidRPr="006D2727" w:rsidRDefault="0075184C" w:rsidP="00D276DC">
            <w:pPr>
              <w:rPr>
                <w:rFonts w:cs="Arial"/>
                <w:b/>
                <w:sz w:val="16"/>
                <w:szCs w:val="16"/>
              </w:rPr>
            </w:pPr>
            <w:r w:rsidRPr="006D2727">
              <w:rPr>
                <w:rFonts w:cs="Arial"/>
                <w:b/>
              </w:rPr>
              <w:t>1</w:t>
            </w:r>
            <w:r>
              <w:rPr>
                <w:rFonts w:cs="Arial"/>
                <w:b/>
              </w:rPr>
              <w:t>0</w:t>
            </w:r>
            <w:r w:rsidRPr="006D2727">
              <w:rPr>
                <w:rFonts w:cs="Arial"/>
                <w:b/>
              </w:rPr>
              <w:t xml:space="preserve">. </w:t>
            </w:r>
            <w:proofErr w:type="spellStart"/>
            <w:r w:rsidRPr="006D2727">
              <w:rPr>
                <w:rFonts w:cs="Arial"/>
                <w:b/>
              </w:rPr>
              <w:t>Additional</w:t>
            </w:r>
            <w:proofErr w:type="spellEnd"/>
            <w:r w:rsidRPr="006D2727">
              <w:rPr>
                <w:rFonts w:cs="Arial"/>
                <w:b/>
              </w:rPr>
              <w:t xml:space="preserve"> information</w:t>
            </w:r>
            <w:r>
              <w:rPr>
                <w:rStyle w:val="Slutnotehenvisning"/>
                <w:b/>
              </w:rPr>
              <w:endnoteReference w:id="14"/>
            </w:r>
            <w:r w:rsidRPr="006D2727">
              <w:rPr>
                <w:rFonts w:cs="Arial"/>
                <w:b/>
              </w:rPr>
              <w:t>:</w:t>
            </w:r>
          </w:p>
          <w:p w:rsidR="0075184C" w:rsidRPr="006D2727" w:rsidRDefault="0075184C" w:rsidP="00D276DC">
            <w:pPr>
              <w:rPr>
                <w:rFonts w:cs="Arial"/>
                <w:b/>
              </w:rPr>
            </w:pPr>
          </w:p>
          <w:p w:rsidR="0075184C" w:rsidRPr="006D2727" w:rsidRDefault="0075184C" w:rsidP="00D276DC">
            <w:pPr>
              <w:rPr>
                <w:rFonts w:cs="Arial"/>
                <w:b/>
              </w:rPr>
            </w:pPr>
          </w:p>
          <w:p w:rsidR="0075184C" w:rsidRPr="006D2727" w:rsidRDefault="0075184C" w:rsidP="00D276DC">
            <w:pPr>
              <w:rPr>
                <w:rFonts w:cs="Arial"/>
                <w:b/>
              </w:rPr>
            </w:pPr>
          </w:p>
          <w:p w:rsidR="0075184C" w:rsidRPr="006D2727" w:rsidRDefault="0075184C" w:rsidP="00D276DC">
            <w:pPr>
              <w:rPr>
                <w:rFonts w:cs="Arial"/>
                <w:b/>
              </w:rPr>
            </w:pPr>
          </w:p>
          <w:p w:rsidR="0075184C" w:rsidRPr="006D2727" w:rsidRDefault="0075184C" w:rsidP="00D276DC">
            <w:pPr>
              <w:rPr>
                <w:rFonts w:cs="Arial"/>
                <w:b/>
              </w:rPr>
            </w:pPr>
          </w:p>
          <w:p w:rsidR="0075184C" w:rsidRPr="006D2727" w:rsidRDefault="0075184C" w:rsidP="00D276DC">
            <w:pPr>
              <w:rPr>
                <w:rFonts w:cs="Arial"/>
              </w:rPr>
            </w:pPr>
            <w:r w:rsidRPr="006D2727">
              <w:rPr>
                <w:rFonts w:cs="Arial"/>
              </w:rPr>
              <w:br/>
            </w:r>
          </w:p>
        </w:tc>
      </w:tr>
    </w:tbl>
    <w:p w:rsidR="0075184C" w:rsidRPr="006D2727" w:rsidRDefault="0075184C" w:rsidP="0075184C"/>
    <w:p w:rsidR="0075184C" w:rsidRPr="0075184C" w:rsidRDefault="0075184C" w:rsidP="0075184C">
      <w:pPr>
        <w:rPr>
          <w:rFonts w:cs="Arial"/>
          <w:lang w:val="en-US"/>
        </w:rPr>
      </w:pPr>
      <w:r w:rsidRPr="0075184C">
        <w:rPr>
          <w:rFonts w:cs="Arial"/>
          <w:lang w:val="en-US"/>
        </w:rPr>
        <w:t>Done at [place] on [date].</w:t>
      </w:r>
    </w:p>
    <w:p w:rsidR="0075184C" w:rsidRPr="006D2727" w:rsidRDefault="0075184C" w:rsidP="0075184C">
      <w:pPr>
        <w:rPr>
          <w:rFonts w:cs="Arial"/>
          <w:b/>
          <w:bCs/>
          <w:lang w:eastAsia="fr-FR"/>
        </w:rPr>
      </w:pPr>
      <w:r w:rsidRPr="0075184C">
        <w:rPr>
          <w:lang w:val="en-US"/>
        </w:rPr>
        <w:br w:type="page"/>
      </w:r>
      <w:r w:rsidRPr="006D2727">
        <w:rPr>
          <w:rFonts w:cs="Arial"/>
          <w:b/>
          <w:bCs/>
          <w:lang w:eastAsia="fr-FR"/>
        </w:rPr>
        <w:lastRenderedPageBreak/>
        <w:t>Notes</w:t>
      </w:r>
    </w:p>
    <w:p w:rsidR="001B637F" w:rsidRPr="00162184" w:rsidRDefault="001B637F" w:rsidP="00F60597"/>
    <w:sectPr w:rsidR="001B637F" w:rsidRPr="00162184" w:rsidSect="00EE3B01">
      <w:headerReference w:type="even" r:id="rId9"/>
      <w:headerReference w:type="default" r:id="rId10"/>
      <w:footerReference w:type="even" r:id="rId11"/>
      <w:footerReference w:type="default" r:id="rId12"/>
      <w:headerReference w:type="first" r:id="rId13"/>
      <w:footerReference w:type="first" r:id="rId14"/>
      <w:pgSz w:w="11906" w:h="16838" w:code="9"/>
      <w:pgMar w:top="907" w:right="1247" w:bottom="136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84C" w:rsidRDefault="0075184C" w:rsidP="0075184C">
      <w:pPr>
        <w:spacing w:line="240" w:lineRule="auto"/>
      </w:pPr>
      <w:r>
        <w:separator/>
      </w:r>
    </w:p>
  </w:endnote>
  <w:endnote w:type="continuationSeparator" w:id="0">
    <w:p w:rsidR="0075184C" w:rsidRDefault="0075184C" w:rsidP="0075184C">
      <w:pPr>
        <w:spacing w:line="240" w:lineRule="auto"/>
      </w:pPr>
      <w:r>
        <w:continuationSeparator/>
      </w:r>
    </w:p>
  </w:endnote>
  <w:endnote w:id="1">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 xml:space="preserve">Full name of the legal entity and further specification of the issuer or underlying issuer, provided it is reliable and accurate (e.g. address, LEI, </w:t>
      </w:r>
      <w:r>
        <w:rPr>
          <w:rFonts w:ascii="Arial" w:hAnsi="Arial" w:cs="Arial"/>
          <w:i/>
          <w:sz w:val="18"/>
          <w:szCs w:val="18"/>
          <w:lang w:eastAsia="fr-FR"/>
        </w:rPr>
        <w:t>CVR number</w:t>
      </w:r>
      <w:r w:rsidRPr="006D2727">
        <w:rPr>
          <w:rFonts w:ascii="Arial" w:hAnsi="Arial" w:cs="Arial"/>
          <w:i/>
          <w:sz w:val="18"/>
          <w:szCs w:val="18"/>
          <w:lang w:eastAsia="fr-FR"/>
        </w:rPr>
        <w:t>).</w:t>
      </w:r>
    </w:p>
    <w:p w:rsidR="0075184C" w:rsidRPr="00E50F37" w:rsidRDefault="0075184C" w:rsidP="0075184C">
      <w:pPr>
        <w:pStyle w:val="Slutnotetekst"/>
        <w:rPr>
          <w:lang w:val="en-US"/>
        </w:rPr>
      </w:pPr>
    </w:p>
  </w:endnote>
  <w:endnote w:id="2">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Other reason for the notification could be voluntary notifications, changes of attribution of the nature of the holding (e.g. expiring of financial instruments) or acting in concert.</w:t>
      </w:r>
    </w:p>
    <w:p w:rsidR="0075184C" w:rsidRPr="00E50F37" w:rsidRDefault="0075184C" w:rsidP="0075184C">
      <w:pPr>
        <w:pStyle w:val="Slutnotetekst"/>
        <w:rPr>
          <w:lang w:val="en-US"/>
        </w:rPr>
      </w:pPr>
    </w:p>
  </w:endnote>
  <w:endnote w:id="3">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 xml:space="preserve">This should be the full name of (a) the shareholder; (b) the natural person or legal entity acquiring, disposing of or exercising voting rights in the cases provided for in </w:t>
      </w:r>
      <w:r>
        <w:rPr>
          <w:rFonts w:ascii="Arial" w:hAnsi="Arial" w:cs="Arial"/>
          <w:i/>
          <w:sz w:val="18"/>
          <w:szCs w:val="18"/>
          <w:lang w:eastAsia="fr-FR"/>
        </w:rPr>
        <w:t>section</w:t>
      </w:r>
      <w:r w:rsidRPr="006D2727">
        <w:rPr>
          <w:rFonts w:ascii="Arial" w:hAnsi="Arial" w:cs="Arial"/>
          <w:i/>
          <w:sz w:val="18"/>
          <w:szCs w:val="18"/>
          <w:lang w:eastAsia="fr-FR"/>
        </w:rPr>
        <w:t xml:space="preserve"> </w:t>
      </w:r>
      <w:r>
        <w:rPr>
          <w:rFonts w:ascii="Arial" w:hAnsi="Arial" w:cs="Arial"/>
          <w:i/>
          <w:sz w:val="18"/>
          <w:szCs w:val="18"/>
          <w:lang w:eastAsia="fr-FR"/>
        </w:rPr>
        <w:t>29 (3) (2-8)</w:t>
      </w:r>
      <w:r w:rsidRPr="006D2727">
        <w:rPr>
          <w:rFonts w:ascii="Arial" w:hAnsi="Arial" w:cs="Arial"/>
          <w:i/>
          <w:sz w:val="18"/>
          <w:szCs w:val="18"/>
          <w:lang w:eastAsia="fr-FR"/>
        </w:rPr>
        <w:t xml:space="preserve"> of </w:t>
      </w:r>
      <w:r>
        <w:rPr>
          <w:rFonts w:ascii="Arial" w:hAnsi="Arial" w:cs="Arial"/>
          <w:i/>
          <w:sz w:val="18"/>
          <w:szCs w:val="18"/>
          <w:lang w:eastAsia="fr-FR"/>
        </w:rPr>
        <w:t xml:space="preserve">the </w:t>
      </w:r>
      <w:r w:rsidRPr="00213ECF">
        <w:rPr>
          <w:rFonts w:ascii="Arial" w:hAnsi="Arial" w:cs="Arial"/>
          <w:i/>
          <w:sz w:val="18"/>
          <w:szCs w:val="18"/>
          <w:lang w:eastAsia="fr-FR"/>
        </w:rPr>
        <w:t>Securities Trading, etc. Act</w:t>
      </w:r>
      <w:r w:rsidRPr="006D2727">
        <w:rPr>
          <w:rFonts w:ascii="Arial" w:hAnsi="Arial" w:cs="Arial"/>
          <w:i/>
          <w:sz w:val="18"/>
          <w:szCs w:val="18"/>
          <w:lang w:eastAsia="fr-FR"/>
        </w:rPr>
        <w:t xml:space="preserve">; or (c) the holder of financial instruments referred to in </w:t>
      </w:r>
      <w:r>
        <w:rPr>
          <w:rFonts w:ascii="Arial" w:hAnsi="Arial" w:cs="Arial"/>
          <w:i/>
          <w:sz w:val="18"/>
          <w:szCs w:val="18"/>
          <w:lang w:eastAsia="fr-FR"/>
        </w:rPr>
        <w:t>section</w:t>
      </w:r>
      <w:r w:rsidRPr="006D2727">
        <w:rPr>
          <w:rFonts w:ascii="Arial" w:hAnsi="Arial" w:cs="Arial"/>
          <w:i/>
          <w:sz w:val="18"/>
          <w:szCs w:val="18"/>
          <w:lang w:eastAsia="fr-FR"/>
        </w:rPr>
        <w:t xml:space="preserve"> </w:t>
      </w:r>
      <w:r>
        <w:rPr>
          <w:rFonts w:ascii="Arial" w:hAnsi="Arial" w:cs="Arial"/>
          <w:i/>
          <w:sz w:val="18"/>
          <w:szCs w:val="18"/>
          <w:lang w:eastAsia="fr-FR"/>
        </w:rPr>
        <w:t>29 (4)</w:t>
      </w:r>
      <w:r w:rsidRPr="006D2727">
        <w:rPr>
          <w:rFonts w:ascii="Arial" w:hAnsi="Arial" w:cs="Arial"/>
          <w:i/>
          <w:sz w:val="18"/>
          <w:szCs w:val="18"/>
          <w:lang w:eastAsia="fr-FR"/>
        </w:rPr>
        <w:t xml:space="preserve"> of </w:t>
      </w:r>
      <w:r>
        <w:rPr>
          <w:rFonts w:ascii="Arial" w:hAnsi="Arial" w:cs="Arial"/>
          <w:i/>
          <w:sz w:val="18"/>
          <w:szCs w:val="18"/>
          <w:lang w:eastAsia="fr-FR"/>
        </w:rPr>
        <w:t xml:space="preserve">the </w:t>
      </w:r>
      <w:r w:rsidRPr="00213ECF">
        <w:rPr>
          <w:rFonts w:ascii="Arial" w:hAnsi="Arial" w:cs="Arial"/>
          <w:i/>
          <w:sz w:val="18"/>
          <w:szCs w:val="18"/>
          <w:lang w:eastAsia="fr-FR"/>
        </w:rPr>
        <w:t>Securities Trading, etc. Act</w:t>
      </w:r>
      <w:r w:rsidRPr="006D2727">
        <w:rPr>
          <w:rFonts w:ascii="Arial" w:hAnsi="Arial" w:cs="Arial"/>
          <w:i/>
          <w:sz w:val="18"/>
          <w:szCs w:val="18"/>
          <w:lang w:eastAsia="fr-FR"/>
        </w:rPr>
        <w:t>.</w:t>
      </w:r>
    </w:p>
    <w:p w:rsidR="0075184C" w:rsidRPr="0075184C" w:rsidRDefault="0075184C" w:rsidP="0075184C">
      <w:pPr>
        <w:autoSpaceDE w:val="0"/>
        <w:autoSpaceDN w:val="0"/>
        <w:adjustRightInd w:val="0"/>
        <w:rPr>
          <w:rFonts w:cs="Arial"/>
          <w:i/>
          <w:sz w:val="18"/>
          <w:szCs w:val="18"/>
          <w:lang w:val="en-US" w:eastAsia="fr-FR"/>
        </w:rPr>
      </w:pPr>
    </w:p>
    <w:p w:rsidR="0075184C" w:rsidRPr="0075184C" w:rsidRDefault="0075184C" w:rsidP="0075184C">
      <w:pPr>
        <w:autoSpaceDE w:val="0"/>
        <w:autoSpaceDN w:val="0"/>
        <w:adjustRightInd w:val="0"/>
        <w:rPr>
          <w:rFonts w:cs="Arial"/>
          <w:i/>
          <w:sz w:val="18"/>
          <w:szCs w:val="18"/>
          <w:lang w:val="en-US" w:eastAsia="fr-FR"/>
        </w:rPr>
      </w:pPr>
      <w:r w:rsidRPr="0075184C">
        <w:rPr>
          <w:rFonts w:cs="Arial"/>
          <w:i/>
          <w:sz w:val="18"/>
          <w:szCs w:val="18"/>
          <w:lang w:val="en-US" w:eastAsia="fr-FR"/>
        </w:rPr>
        <w:t>As the disclosure of cases of acting in concert may vary due to the specific circumstances (e.g. same or different total positions of the parties, entering or exiting of acting in concert by a single party) the standard form does not provide for a specific method how to notify cases of acting in concert.</w:t>
      </w:r>
    </w:p>
    <w:p w:rsidR="0075184C" w:rsidRPr="0075184C" w:rsidRDefault="0075184C" w:rsidP="0075184C">
      <w:pPr>
        <w:autoSpaceDE w:val="0"/>
        <w:autoSpaceDN w:val="0"/>
        <w:adjustRightInd w:val="0"/>
        <w:rPr>
          <w:rFonts w:cs="Arial"/>
          <w:i/>
          <w:sz w:val="18"/>
          <w:szCs w:val="18"/>
          <w:lang w:val="en-US" w:eastAsia="fr-FR"/>
        </w:rPr>
      </w:pPr>
    </w:p>
    <w:p w:rsidR="0075184C" w:rsidRPr="0075184C" w:rsidRDefault="0075184C" w:rsidP="0075184C">
      <w:pPr>
        <w:autoSpaceDE w:val="0"/>
        <w:autoSpaceDN w:val="0"/>
        <w:adjustRightInd w:val="0"/>
        <w:rPr>
          <w:rFonts w:cs="Arial"/>
          <w:i/>
          <w:sz w:val="18"/>
          <w:szCs w:val="18"/>
          <w:lang w:val="en-US" w:eastAsia="fr-FR"/>
        </w:rPr>
      </w:pPr>
      <w:r w:rsidRPr="0075184C">
        <w:rPr>
          <w:rFonts w:cs="Arial"/>
          <w:i/>
          <w:sz w:val="18"/>
          <w:szCs w:val="18"/>
          <w:lang w:val="en-US" w:eastAsia="fr-FR"/>
        </w:rPr>
        <w:t>In relation to the transactions referred to in points (2) to (8) of section 29 (3) of the Securities Trading, etc. Act, the following list is provided as indication of the persons who should be mentioned:</w:t>
      </w:r>
    </w:p>
    <w:p w:rsidR="0075184C" w:rsidRPr="0075184C" w:rsidRDefault="0075184C" w:rsidP="0075184C">
      <w:pPr>
        <w:autoSpaceDE w:val="0"/>
        <w:autoSpaceDN w:val="0"/>
        <w:adjustRightInd w:val="0"/>
        <w:rPr>
          <w:rFonts w:cs="Arial"/>
          <w:i/>
          <w:sz w:val="18"/>
          <w:szCs w:val="18"/>
          <w:lang w:val="en-US" w:eastAsia="fr-FR"/>
        </w:rPr>
      </w:pPr>
    </w:p>
    <w:p w:rsidR="0075184C" w:rsidRPr="0075184C" w:rsidRDefault="0075184C" w:rsidP="0075184C">
      <w:pPr>
        <w:autoSpaceDE w:val="0"/>
        <w:autoSpaceDN w:val="0"/>
        <w:adjustRightInd w:val="0"/>
        <w:ind w:left="426"/>
        <w:rPr>
          <w:rFonts w:cs="Arial"/>
          <w:i/>
          <w:sz w:val="18"/>
          <w:szCs w:val="18"/>
          <w:lang w:val="en-US" w:eastAsia="fr-FR"/>
        </w:rPr>
      </w:pPr>
      <w:r w:rsidRPr="0075184C">
        <w:rPr>
          <w:rFonts w:cs="Arial"/>
          <w:i/>
          <w:sz w:val="18"/>
          <w:szCs w:val="18"/>
          <w:lang w:val="en-US" w:eastAsia="fr-FR"/>
        </w:rPr>
        <w:t>- in the circumstances foreseen in section 29 (3) (2) of the Securities Trading, etc. Act, the natural person or legal entity that acquires the voting rights and is entitled to exercise them under the agreement and the natural person or legal entity who is transferring temporarily for consideration the voting rights;</w:t>
      </w:r>
    </w:p>
    <w:p w:rsidR="0075184C" w:rsidRPr="0075184C" w:rsidRDefault="0075184C" w:rsidP="0075184C">
      <w:pPr>
        <w:autoSpaceDE w:val="0"/>
        <w:autoSpaceDN w:val="0"/>
        <w:adjustRightInd w:val="0"/>
        <w:ind w:left="426"/>
        <w:rPr>
          <w:rFonts w:cs="Arial"/>
          <w:i/>
          <w:sz w:val="18"/>
          <w:szCs w:val="18"/>
          <w:lang w:val="en-US" w:eastAsia="fr-FR"/>
        </w:rPr>
      </w:pPr>
    </w:p>
    <w:p w:rsidR="0075184C" w:rsidRPr="0075184C" w:rsidRDefault="0075184C" w:rsidP="0075184C">
      <w:pPr>
        <w:autoSpaceDE w:val="0"/>
        <w:autoSpaceDN w:val="0"/>
        <w:adjustRightInd w:val="0"/>
        <w:ind w:left="426"/>
        <w:rPr>
          <w:rFonts w:cs="Arial"/>
          <w:i/>
          <w:sz w:val="18"/>
          <w:szCs w:val="18"/>
          <w:lang w:val="en-US" w:eastAsia="fr-FR"/>
        </w:rPr>
      </w:pPr>
      <w:r w:rsidRPr="0075184C">
        <w:rPr>
          <w:rFonts w:cs="Arial"/>
          <w:i/>
          <w:sz w:val="18"/>
          <w:szCs w:val="18"/>
          <w:lang w:val="en-US" w:eastAsia="fr-FR"/>
        </w:rPr>
        <w:t>- in the circumstances foreseen in section 29 (3) (3) of the Securities Trading, etc. Act, the natural person or legal entity holding the collateral, provided the person or entity controls the voting rights and declares its intention of exercising them, and natural person or legal entity lodging the collateral under these conditions;</w:t>
      </w:r>
    </w:p>
    <w:p w:rsidR="0075184C" w:rsidRPr="0075184C" w:rsidRDefault="0075184C" w:rsidP="0075184C">
      <w:pPr>
        <w:autoSpaceDE w:val="0"/>
        <w:autoSpaceDN w:val="0"/>
        <w:adjustRightInd w:val="0"/>
        <w:ind w:left="426"/>
        <w:rPr>
          <w:rFonts w:cs="Arial"/>
          <w:i/>
          <w:sz w:val="18"/>
          <w:szCs w:val="18"/>
          <w:lang w:val="en-US" w:eastAsia="fr-FR"/>
        </w:rPr>
      </w:pPr>
    </w:p>
    <w:p w:rsidR="0075184C" w:rsidRPr="0075184C" w:rsidRDefault="0075184C" w:rsidP="0075184C">
      <w:pPr>
        <w:autoSpaceDE w:val="0"/>
        <w:autoSpaceDN w:val="0"/>
        <w:adjustRightInd w:val="0"/>
        <w:ind w:left="426"/>
        <w:rPr>
          <w:rFonts w:cs="Arial"/>
          <w:i/>
          <w:sz w:val="18"/>
          <w:szCs w:val="18"/>
          <w:lang w:val="en-US" w:eastAsia="fr-FR"/>
        </w:rPr>
      </w:pPr>
      <w:r w:rsidRPr="0075184C">
        <w:rPr>
          <w:rFonts w:cs="Arial"/>
          <w:i/>
          <w:sz w:val="18"/>
          <w:szCs w:val="18"/>
          <w:lang w:val="en-US" w:eastAsia="fr-FR"/>
        </w:rPr>
        <w:t>- in the circumstances foreseen in section 29 (3) (4) of the Securities Trading, etc. Act, the natural person or legal entity who has a life interest in shares if that person or entity is entitled to exercise the voting rights attached to the shares and the natural person or legal entity who is disposing of the voting rights when the life interest is created;</w:t>
      </w:r>
    </w:p>
    <w:p w:rsidR="0075184C" w:rsidRPr="0075184C" w:rsidRDefault="0075184C" w:rsidP="0075184C">
      <w:pPr>
        <w:autoSpaceDE w:val="0"/>
        <w:autoSpaceDN w:val="0"/>
        <w:adjustRightInd w:val="0"/>
        <w:ind w:left="426"/>
        <w:rPr>
          <w:rFonts w:cs="Arial"/>
          <w:i/>
          <w:sz w:val="18"/>
          <w:szCs w:val="18"/>
          <w:lang w:val="en-US" w:eastAsia="fr-FR"/>
        </w:rPr>
      </w:pPr>
    </w:p>
    <w:p w:rsidR="0075184C" w:rsidRPr="0075184C" w:rsidRDefault="0075184C" w:rsidP="0075184C">
      <w:pPr>
        <w:autoSpaceDE w:val="0"/>
        <w:autoSpaceDN w:val="0"/>
        <w:adjustRightInd w:val="0"/>
        <w:ind w:left="426"/>
        <w:rPr>
          <w:rFonts w:cs="Arial"/>
          <w:i/>
          <w:sz w:val="18"/>
          <w:szCs w:val="18"/>
          <w:lang w:val="en-US" w:eastAsia="fr-FR"/>
        </w:rPr>
      </w:pPr>
      <w:r w:rsidRPr="0075184C">
        <w:rPr>
          <w:rFonts w:cs="Arial"/>
          <w:i/>
          <w:sz w:val="18"/>
          <w:szCs w:val="18"/>
          <w:lang w:val="en-US" w:eastAsia="fr-FR"/>
        </w:rPr>
        <w:t xml:space="preserve">- in the circumstances foreseen in section 29 (3) (5) of the Securities Trading, etc. Act, the controlling natural person or legal entity and, provided it has a notification duty at an individual level under section 29(1), under points (1) to (4) of section 29 (3) of the Securities Trading, etc. </w:t>
      </w:r>
      <w:proofErr w:type="gramStart"/>
      <w:r w:rsidRPr="0075184C">
        <w:rPr>
          <w:rFonts w:cs="Arial"/>
          <w:i/>
          <w:sz w:val="18"/>
          <w:szCs w:val="18"/>
          <w:lang w:val="en-US" w:eastAsia="fr-FR"/>
        </w:rPr>
        <w:t>Act,  or</w:t>
      </w:r>
      <w:proofErr w:type="gramEnd"/>
      <w:r w:rsidRPr="0075184C">
        <w:rPr>
          <w:rFonts w:cs="Arial"/>
          <w:i/>
          <w:sz w:val="18"/>
          <w:szCs w:val="18"/>
          <w:lang w:val="en-US" w:eastAsia="fr-FR"/>
        </w:rPr>
        <w:t xml:space="preserve"> under a combination of any of those situations, the controlled undertaking;</w:t>
      </w:r>
    </w:p>
    <w:p w:rsidR="0075184C" w:rsidRPr="0075184C" w:rsidRDefault="0075184C" w:rsidP="0075184C">
      <w:pPr>
        <w:autoSpaceDE w:val="0"/>
        <w:autoSpaceDN w:val="0"/>
        <w:adjustRightInd w:val="0"/>
        <w:ind w:left="426"/>
        <w:rPr>
          <w:rFonts w:cs="Arial"/>
          <w:i/>
          <w:sz w:val="18"/>
          <w:szCs w:val="18"/>
          <w:lang w:val="en-US" w:eastAsia="fr-FR"/>
        </w:rPr>
      </w:pPr>
    </w:p>
    <w:p w:rsidR="0075184C" w:rsidRPr="0075184C" w:rsidRDefault="0075184C" w:rsidP="0075184C">
      <w:pPr>
        <w:autoSpaceDE w:val="0"/>
        <w:autoSpaceDN w:val="0"/>
        <w:adjustRightInd w:val="0"/>
        <w:ind w:left="426"/>
        <w:rPr>
          <w:rFonts w:cs="Arial"/>
          <w:i/>
          <w:sz w:val="18"/>
          <w:szCs w:val="18"/>
          <w:lang w:val="en-US" w:eastAsia="fr-FR"/>
        </w:rPr>
      </w:pPr>
      <w:r w:rsidRPr="0075184C">
        <w:rPr>
          <w:rFonts w:cs="Arial"/>
          <w:i/>
          <w:sz w:val="18"/>
          <w:szCs w:val="18"/>
          <w:lang w:val="en-US" w:eastAsia="fr-FR"/>
        </w:rPr>
        <w:t>- in the circumstances foreseen in section 29 (3) (6) of the Securities Trading, etc. Act, the deposit taker of the shares, if he can exercise the voting rights attached to the shares deposited with him at his discretion, and the depositor of the shares allowing the deposit taker to exercise the voting rights at his discretion;</w:t>
      </w:r>
    </w:p>
    <w:p w:rsidR="0075184C" w:rsidRPr="0075184C" w:rsidRDefault="0075184C" w:rsidP="0075184C">
      <w:pPr>
        <w:autoSpaceDE w:val="0"/>
        <w:autoSpaceDN w:val="0"/>
        <w:adjustRightInd w:val="0"/>
        <w:ind w:left="426"/>
        <w:rPr>
          <w:rFonts w:cs="Arial"/>
          <w:i/>
          <w:sz w:val="18"/>
          <w:szCs w:val="18"/>
          <w:lang w:val="en-US" w:eastAsia="fr-FR"/>
        </w:rPr>
      </w:pPr>
    </w:p>
    <w:p w:rsidR="0075184C" w:rsidRPr="0075184C" w:rsidRDefault="0075184C" w:rsidP="0075184C">
      <w:pPr>
        <w:autoSpaceDE w:val="0"/>
        <w:autoSpaceDN w:val="0"/>
        <w:adjustRightInd w:val="0"/>
        <w:ind w:left="426"/>
        <w:rPr>
          <w:rFonts w:cs="Arial"/>
          <w:i/>
          <w:sz w:val="18"/>
          <w:szCs w:val="18"/>
          <w:lang w:val="en-US" w:eastAsia="fr-FR"/>
        </w:rPr>
      </w:pPr>
      <w:r w:rsidRPr="0075184C">
        <w:rPr>
          <w:rFonts w:cs="Arial"/>
          <w:i/>
          <w:sz w:val="18"/>
          <w:szCs w:val="18"/>
          <w:lang w:val="en-US" w:eastAsia="fr-FR"/>
        </w:rPr>
        <w:t>- in the circumstances foreseen in section 29 (3) (7) of the Securities Trading, etc. Act, the natural person or legal entity that controls the voting rights;</w:t>
      </w:r>
    </w:p>
    <w:p w:rsidR="0075184C" w:rsidRPr="0075184C" w:rsidRDefault="0075184C" w:rsidP="0075184C">
      <w:pPr>
        <w:autoSpaceDE w:val="0"/>
        <w:autoSpaceDN w:val="0"/>
        <w:adjustRightInd w:val="0"/>
        <w:ind w:left="426"/>
        <w:rPr>
          <w:rFonts w:cs="Arial"/>
          <w:i/>
          <w:sz w:val="18"/>
          <w:szCs w:val="18"/>
          <w:lang w:val="en-US" w:eastAsia="fr-FR"/>
        </w:rPr>
      </w:pPr>
    </w:p>
    <w:p w:rsidR="0075184C" w:rsidRPr="0075184C" w:rsidRDefault="0075184C" w:rsidP="0075184C">
      <w:pPr>
        <w:autoSpaceDE w:val="0"/>
        <w:autoSpaceDN w:val="0"/>
        <w:adjustRightInd w:val="0"/>
        <w:ind w:left="426"/>
        <w:rPr>
          <w:rFonts w:cs="Arial"/>
          <w:i/>
          <w:sz w:val="18"/>
          <w:szCs w:val="18"/>
          <w:lang w:val="en-US" w:eastAsia="fr-FR"/>
        </w:rPr>
      </w:pPr>
      <w:r w:rsidRPr="0075184C">
        <w:rPr>
          <w:rFonts w:cs="Arial"/>
          <w:i/>
          <w:sz w:val="18"/>
          <w:szCs w:val="18"/>
          <w:lang w:val="en-US" w:eastAsia="fr-FR"/>
        </w:rPr>
        <w:t>- in the circumstances foreseen in section 29 (3) (8) of the Securities Trading, etc. Act, the proxy holder, if he can exercise the voting rights at his discretion, and the shareholder who has given his proxy to the proxy holder allowing the latter to exercise the voting rights at his discretion (e.g. management companies).</w:t>
      </w:r>
    </w:p>
    <w:p w:rsidR="0075184C" w:rsidRPr="00E50F37" w:rsidRDefault="0075184C" w:rsidP="0075184C">
      <w:pPr>
        <w:pStyle w:val="Slutnotetekst"/>
        <w:rPr>
          <w:lang w:val="en-US"/>
        </w:rPr>
      </w:pPr>
    </w:p>
  </w:endnote>
  <w:endnote w:id="4">
    <w:p w:rsidR="0075184C" w:rsidRPr="0075184C" w:rsidRDefault="0075184C" w:rsidP="0075184C">
      <w:pPr>
        <w:autoSpaceDE w:val="0"/>
        <w:autoSpaceDN w:val="0"/>
        <w:adjustRightInd w:val="0"/>
        <w:rPr>
          <w:rFonts w:cs="Arial"/>
          <w:i/>
          <w:sz w:val="18"/>
          <w:szCs w:val="18"/>
          <w:lang w:val="en-US" w:eastAsia="fr-FR"/>
        </w:rPr>
      </w:pPr>
      <w:r>
        <w:rPr>
          <w:rStyle w:val="Slutnotehenvisning"/>
        </w:rPr>
        <w:endnoteRef/>
      </w:r>
      <w:r w:rsidRPr="0075184C">
        <w:rPr>
          <w:lang w:val="en-US"/>
        </w:rPr>
        <w:t xml:space="preserve"> </w:t>
      </w:r>
      <w:r w:rsidRPr="0075184C">
        <w:rPr>
          <w:rFonts w:cs="Arial"/>
          <w:i/>
          <w:sz w:val="18"/>
          <w:szCs w:val="18"/>
          <w:lang w:val="en-US" w:eastAsia="fr-FR"/>
        </w:rPr>
        <w:t>Applicable in the cases provided for in section 29 (3) (2-8) of the Securities Trading, etc. Act. This should be the full name of the shareholder who is the counterparty to the natural person or legal entity referred to in section 29 (3) of that Act unless the percentage of voting rights held by the shareholder is lower than the lowest notifiable threshold for the disclosure of voting rights holdings in accordance with national practices (e.g. identification of funds managed by management companies).</w:t>
      </w:r>
    </w:p>
    <w:p w:rsidR="0075184C" w:rsidRPr="00672FA9" w:rsidRDefault="0075184C" w:rsidP="0075184C">
      <w:pPr>
        <w:pStyle w:val="Slutnotetekst"/>
        <w:rPr>
          <w:lang w:val="en-US"/>
        </w:rPr>
      </w:pPr>
    </w:p>
  </w:endnote>
  <w:endnote w:id="5">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The date on which threshold is crossed or reached should be the date on which the acquisition or disposal took place or the other reason triggered the notification obligation. For passive crossings, the date when the corporate event took effect.</w:t>
      </w:r>
    </w:p>
    <w:p w:rsidR="0075184C" w:rsidRPr="00E50F37" w:rsidRDefault="0075184C" w:rsidP="0075184C">
      <w:pPr>
        <w:pStyle w:val="Slutnotetekst"/>
        <w:rPr>
          <w:lang w:val="en-US"/>
        </w:rPr>
      </w:pPr>
    </w:p>
  </w:endnote>
  <w:endnote w:id="6">
    <w:p w:rsidR="0075184C" w:rsidRPr="0075184C" w:rsidRDefault="0075184C" w:rsidP="0075184C">
      <w:pPr>
        <w:autoSpaceDE w:val="0"/>
        <w:autoSpaceDN w:val="0"/>
        <w:adjustRightInd w:val="0"/>
        <w:rPr>
          <w:rFonts w:cs="Arial"/>
          <w:i/>
          <w:sz w:val="18"/>
          <w:szCs w:val="18"/>
          <w:lang w:val="en-US" w:eastAsia="fr-FR"/>
        </w:rPr>
      </w:pPr>
      <w:r>
        <w:rPr>
          <w:rStyle w:val="Slutnotehenvisning"/>
        </w:rPr>
        <w:endnoteRef/>
      </w:r>
      <w:r w:rsidRPr="0075184C">
        <w:rPr>
          <w:lang w:val="en-US"/>
        </w:rPr>
        <w:t xml:space="preserve"> </w:t>
      </w:r>
      <w:r w:rsidRPr="0075184C">
        <w:rPr>
          <w:rFonts w:cs="Arial"/>
          <w:i/>
          <w:sz w:val="18"/>
          <w:szCs w:val="18"/>
          <w:lang w:val="en-US" w:eastAsia="fr-FR"/>
        </w:rPr>
        <w:t>The total number of voting rights or share capital shall be composed of all the shares, including depository receipts representing shares, to which voting rights are attached even if the exercise thereof is suspended.</w:t>
      </w:r>
    </w:p>
    <w:p w:rsidR="0075184C" w:rsidRPr="00E50F37" w:rsidRDefault="0075184C" w:rsidP="0075184C">
      <w:pPr>
        <w:pStyle w:val="Slutnotetekst"/>
        <w:rPr>
          <w:lang w:val="en-US"/>
        </w:rPr>
      </w:pPr>
    </w:p>
  </w:endnote>
  <w:endnote w:id="7">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 xml:space="preserve">In case of combined </w:t>
      </w:r>
      <w:r>
        <w:rPr>
          <w:rFonts w:ascii="Arial" w:hAnsi="Arial" w:cs="Arial"/>
          <w:i/>
          <w:sz w:val="18"/>
          <w:szCs w:val="18"/>
          <w:lang w:eastAsia="fr-FR"/>
        </w:rPr>
        <w:t xml:space="preserve">both direct and indirect </w:t>
      </w:r>
      <w:r w:rsidRPr="006D2727">
        <w:rPr>
          <w:rFonts w:ascii="Arial" w:hAnsi="Arial" w:cs="Arial"/>
          <w:i/>
          <w:sz w:val="18"/>
          <w:szCs w:val="18"/>
          <w:lang w:eastAsia="fr-FR"/>
        </w:rPr>
        <w:t xml:space="preserve">holdings of shares with voting rights </w:t>
      </w:r>
      <w:r>
        <w:rPr>
          <w:rFonts w:ascii="Arial" w:hAnsi="Arial" w:cs="Arial"/>
          <w:i/>
          <w:sz w:val="18"/>
          <w:szCs w:val="18"/>
          <w:lang w:eastAsia="fr-FR"/>
        </w:rPr>
        <w:t>or share capital</w:t>
      </w:r>
      <w:r w:rsidRPr="006D2727">
        <w:rPr>
          <w:rFonts w:ascii="Arial" w:hAnsi="Arial" w:cs="Arial"/>
          <w:i/>
          <w:sz w:val="18"/>
          <w:szCs w:val="18"/>
          <w:lang w:eastAsia="fr-FR"/>
        </w:rPr>
        <w:t xml:space="preserve"> attached, please split the </w:t>
      </w:r>
      <w:r>
        <w:rPr>
          <w:rFonts w:ascii="Arial" w:hAnsi="Arial" w:cs="Arial"/>
          <w:i/>
          <w:sz w:val="18"/>
          <w:szCs w:val="18"/>
          <w:lang w:eastAsia="fr-FR"/>
        </w:rPr>
        <w:t xml:space="preserve">number </w:t>
      </w:r>
      <w:r w:rsidRPr="006D2727">
        <w:rPr>
          <w:rFonts w:ascii="Arial" w:hAnsi="Arial" w:cs="Arial"/>
          <w:i/>
          <w:sz w:val="18"/>
          <w:szCs w:val="18"/>
          <w:lang w:eastAsia="fr-FR"/>
        </w:rPr>
        <w:t xml:space="preserve">and percentage </w:t>
      </w:r>
      <w:r>
        <w:rPr>
          <w:rFonts w:ascii="Arial" w:hAnsi="Arial" w:cs="Arial"/>
          <w:i/>
          <w:sz w:val="18"/>
          <w:szCs w:val="18"/>
          <w:lang w:eastAsia="fr-FR"/>
        </w:rPr>
        <w:t xml:space="preserve">of the </w:t>
      </w:r>
      <w:r w:rsidRPr="006D2727">
        <w:rPr>
          <w:rFonts w:ascii="Arial" w:hAnsi="Arial" w:cs="Arial"/>
          <w:i/>
          <w:sz w:val="18"/>
          <w:szCs w:val="18"/>
          <w:lang w:eastAsia="fr-FR"/>
        </w:rPr>
        <w:t xml:space="preserve">voting rights </w:t>
      </w:r>
      <w:r>
        <w:rPr>
          <w:rFonts w:ascii="Arial" w:hAnsi="Arial" w:cs="Arial"/>
          <w:i/>
          <w:sz w:val="18"/>
          <w:szCs w:val="18"/>
          <w:lang w:eastAsia="fr-FR"/>
        </w:rPr>
        <w:t xml:space="preserve">and of the share capital </w:t>
      </w:r>
      <w:r w:rsidRPr="006D2727">
        <w:rPr>
          <w:rFonts w:ascii="Arial" w:hAnsi="Arial" w:cs="Arial"/>
          <w:i/>
          <w:sz w:val="18"/>
          <w:szCs w:val="18"/>
          <w:lang w:eastAsia="fr-FR"/>
        </w:rPr>
        <w:t xml:space="preserve">into the direct and indirect columns – if there </w:t>
      </w:r>
      <w:proofErr w:type="gramStart"/>
      <w:r w:rsidRPr="006D2727">
        <w:rPr>
          <w:rFonts w:ascii="Arial" w:hAnsi="Arial" w:cs="Arial"/>
          <w:i/>
          <w:sz w:val="18"/>
          <w:szCs w:val="18"/>
          <w:lang w:eastAsia="fr-FR"/>
        </w:rPr>
        <w:t>is</w:t>
      </w:r>
      <w:proofErr w:type="gramEnd"/>
      <w:r w:rsidRPr="006D2727">
        <w:rPr>
          <w:rFonts w:ascii="Arial" w:hAnsi="Arial" w:cs="Arial"/>
          <w:i/>
          <w:sz w:val="18"/>
          <w:szCs w:val="18"/>
          <w:lang w:eastAsia="fr-FR"/>
        </w:rPr>
        <w:t xml:space="preserve"> no combined holdings, please leave the relevant box blank.</w:t>
      </w:r>
    </w:p>
    <w:p w:rsidR="0075184C" w:rsidRPr="00E50F37" w:rsidRDefault="0075184C" w:rsidP="0075184C">
      <w:pPr>
        <w:pStyle w:val="Slutnotetekst"/>
        <w:rPr>
          <w:lang w:val="en-US"/>
        </w:rPr>
      </w:pPr>
    </w:p>
  </w:endnote>
  <w:endnote w:id="8">
    <w:p w:rsidR="0075184C" w:rsidRPr="0075184C" w:rsidRDefault="0075184C" w:rsidP="0075184C">
      <w:pPr>
        <w:autoSpaceDE w:val="0"/>
        <w:autoSpaceDN w:val="0"/>
        <w:adjustRightInd w:val="0"/>
        <w:rPr>
          <w:rFonts w:cs="Arial"/>
          <w:i/>
          <w:sz w:val="18"/>
          <w:szCs w:val="18"/>
          <w:lang w:val="en-US" w:eastAsia="fr-FR"/>
        </w:rPr>
      </w:pPr>
      <w:r>
        <w:rPr>
          <w:rStyle w:val="Slutnotehenvisning"/>
        </w:rPr>
        <w:endnoteRef/>
      </w:r>
      <w:r w:rsidRPr="0075184C">
        <w:rPr>
          <w:lang w:val="en-US"/>
        </w:rPr>
        <w:t xml:space="preserve"> </w:t>
      </w:r>
      <w:r w:rsidRPr="0075184C">
        <w:rPr>
          <w:rFonts w:cs="Arial"/>
          <w:i/>
          <w:sz w:val="18"/>
          <w:szCs w:val="18"/>
          <w:lang w:val="en-US" w:eastAsia="fr-FR"/>
        </w:rPr>
        <w:t>Date of maturity/expiration of the financial instrument, i.e. the date when right to acquire shares ends.</w:t>
      </w:r>
    </w:p>
    <w:p w:rsidR="0075184C" w:rsidRPr="00672FA9" w:rsidRDefault="0075184C" w:rsidP="0075184C">
      <w:pPr>
        <w:pStyle w:val="Slutnotetekst"/>
        <w:rPr>
          <w:lang w:val="en-US"/>
        </w:rPr>
      </w:pPr>
    </w:p>
  </w:endnote>
  <w:endnote w:id="9">
    <w:p w:rsidR="0075184C" w:rsidRDefault="0075184C" w:rsidP="0075184C">
      <w:pPr>
        <w:pStyle w:val="Slutnotetekst"/>
        <w:rPr>
          <w:rFonts w:ascii="Arial" w:hAnsi="Arial" w:cs="Arial"/>
          <w:i/>
          <w:sz w:val="18"/>
          <w:szCs w:val="18"/>
          <w:lang w:eastAsia="fr-FR"/>
        </w:rPr>
      </w:pPr>
      <w:r>
        <w:rPr>
          <w:rStyle w:val="Slutnotehenvisning"/>
        </w:rPr>
        <w:endnoteRef/>
      </w:r>
      <w:r>
        <w:rPr>
          <w:rFonts w:ascii="Arial" w:hAnsi="Arial" w:cs="Arial"/>
          <w:i/>
          <w:sz w:val="18"/>
          <w:szCs w:val="18"/>
          <w:lang w:eastAsia="fr-FR"/>
        </w:rPr>
        <w:t xml:space="preserve"> </w:t>
      </w:r>
      <w:r w:rsidRPr="006D2727">
        <w:rPr>
          <w:rFonts w:ascii="Arial" w:hAnsi="Arial" w:cs="Arial"/>
          <w:i/>
          <w:sz w:val="18"/>
          <w:szCs w:val="18"/>
          <w:lang w:eastAsia="fr-FR"/>
        </w:rPr>
        <w:t>If the financial instrument has such a period – please specify this period – for example once every 3 months starting from [date].</w:t>
      </w:r>
    </w:p>
    <w:p w:rsidR="0075184C" w:rsidRPr="00672FA9" w:rsidRDefault="0075184C" w:rsidP="0075184C">
      <w:pPr>
        <w:pStyle w:val="Slutnotetekst"/>
        <w:rPr>
          <w:lang w:val="en-US"/>
        </w:rPr>
      </w:pPr>
    </w:p>
  </w:endnote>
  <w:endnote w:id="10">
    <w:p w:rsidR="0075184C" w:rsidRPr="0075184C" w:rsidRDefault="0075184C" w:rsidP="0075184C">
      <w:pPr>
        <w:autoSpaceDE w:val="0"/>
        <w:autoSpaceDN w:val="0"/>
        <w:adjustRightInd w:val="0"/>
        <w:rPr>
          <w:rFonts w:cs="Arial"/>
          <w:sz w:val="18"/>
          <w:szCs w:val="18"/>
          <w:lang w:val="en-US" w:eastAsia="fr-FR"/>
        </w:rPr>
      </w:pPr>
      <w:r>
        <w:rPr>
          <w:rStyle w:val="Slutnotehenvisning"/>
        </w:rPr>
        <w:endnoteRef/>
      </w:r>
      <w:r w:rsidRPr="0075184C">
        <w:rPr>
          <w:lang w:val="en-US"/>
        </w:rPr>
        <w:t xml:space="preserve"> </w:t>
      </w:r>
      <w:r w:rsidRPr="0075184C">
        <w:rPr>
          <w:rFonts w:cs="Arial"/>
          <w:i/>
          <w:sz w:val="18"/>
          <w:szCs w:val="18"/>
          <w:lang w:val="en-US" w:eastAsia="fr-FR"/>
        </w:rPr>
        <w:t>In case of cash settled instruments the number and percentages of voting rights or share capital is to be presented on a delta-adjusted basis (sections 6 and 7 of Executive Order on Major Shareholders).</w:t>
      </w:r>
    </w:p>
    <w:p w:rsidR="0075184C" w:rsidRPr="0075184C" w:rsidRDefault="0075184C" w:rsidP="0075184C">
      <w:pPr>
        <w:autoSpaceDE w:val="0"/>
        <w:autoSpaceDN w:val="0"/>
        <w:adjustRightInd w:val="0"/>
        <w:rPr>
          <w:rFonts w:cs="Arial"/>
          <w:sz w:val="18"/>
          <w:szCs w:val="18"/>
          <w:lang w:val="en-US" w:eastAsia="fr-FR"/>
        </w:rPr>
      </w:pPr>
    </w:p>
  </w:endnote>
  <w:endnote w:id="11">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 xml:space="preserve">If the person subject to the notification obligation is either controlled and/or does control another </w:t>
      </w:r>
      <w:proofErr w:type="gramStart"/>
      <w:r w:rsidRPr="006D2727">
        <w:rPr>
          <w:rFonts w:ascii="Arial" w:hAnsi="Arial" w:cs="Arial"/>
          <w:i/>
          <w:sz w:val="18"/>
          <w:szCs w:val="18"/>
          <w:lang w:eastAsia="fr-FR"/>
        </w:rPr>
        <w:t>undertaking</w:t>
      </w:r>
      <w:proofErr w:type="gramEnd"/>
      <w:r w:rsidRPr="006D2727">
        <w:rPr>
          <w:rFonts w:ascii="Arial" w:hAnsi="Arial" w:cs="Arial"/>
          <w:i/>
          <w:sz w:val="18"/>
          <w:szCs w:val="18"/>
          <w:lang w:eastAsia="fr-FR"/>
        </w:rPr>
        <w:t xml:space="preserve"> then the second option applies.</w:t>
      </w:r>
    </w:p>
    <w:p w:rsidR="0075184C" w:rsidRPr="00E50F37" w:rsidRDefault="0075184C" w:rsidP="0075184C">
      <w:pPr>
        <w:pStyle w:val="Slutnotetekst"/>
        <w:rPr>
          <w:lang w:val="en-US"/>
        </w:rPr>
      </w:pPr>
    </w:p>
  </w:endnote>
  <w:endnote w:id="12">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free row, A, B, D, free row, A, E, F etc.).</w:t>
      </w:r>
    </w:p>
    <w:p w:rsidR="0075184C" w:rsidRPr="00E50F37" w:rsidRDefault="0075184C" w:rsidP="0075184C">
      <w:pPr>
        <w:pStyle w:val="Slutnotetekst"/>
        <w:rPr>
          <w:lang w:val="en-US"/>
        </w:rPr>
      </w:pPr>
    </w:p>
  </w:endnote>
  <w:endnote w:id="13">
    <w:p w:rsidR="0075184C" w:rsidRDefault="0075184C" w:rsidP="0075184C">
      <w:pPr>
        <w:pStyle w:val="Slutnotetekst"/>
        <w:rPr>
          <w:rFonts w:ascii="Arial" w:hAnsi="Arial" w:cs="Arial"/>
          <w:i/>
          <w:sz w:val="18"/>
          <w:szCs w:val="18"/>
          <w:lang w:eastAsia="fr-FR"/>
        </w:rPr>
      </w:pPr>
      <w:r>
        <w:rPr>
          <w:rStyle w:val="Slutnotehenvisning"/>
        </w:rPr>
        <w:endnoteRef/>
      </w:r>
      <w:r>
        <w:t xml:space="preserve"> </w:t>
      </w:r>
      <w:r w:rsidRPr="006D2727">
        <w:rPr>
          <w:rFonts w:ascii="Arial" w:hAnsi="Arial" w:cs="Arial"/>
          <w:i/>
          <w:sz w:val="18"/>
          <w:szCs w:val="18"/>
          <w:lang w:eastAsia="fr-FR"/>
        </w:rPr>
        <w:t xml:space="preserve">The names of controlled undertakings through which the voting rights </w:t>
      </w:r>
      <w:r>
        <w:rPr>
          <w:rFonts w:ascii="Arial" w:hAnsi="Arial" w:cs="Arial"/>
          <w:i/>
          <w:sz w:val="18"/>
          <w:szCs w:val="18"/>
          <w:lang w:eastAsia="fr-FR"/>
        </w:rPr>
        <w:t>or share capital</w:t>
      </w:r>
      <w:r w:rsidRPr="006D2727">
        <w:rPr>
          <w:rFonts w:ascii="Arial" w:hAnsi="Arial" w:cs="Arial"/>
          <w:i/>
          <w:sz w:val="18"/>
          <w:szCs w:val="18"/>
          <w:lang w:eastAsia="fr-FR"/>
        </w:rPr>
        <w:t xml:space="preserve"> and/or financial instruments are effectively held have to be presented irrespectively whether the controlled undertakings cross or reach the lowest applicable threshold themselves.</w:t>
      </w:r>
    </w:p>
    <w:p w:rsidR="0075184C" w:rsidRPr="00E50F37" w:rsidRDefault="0075184C" w:rsidP="0075184C">
      <w:pPr>
        <w:pStyle w:val="Slutnotetekst"/>
        <w:rPr>
          <w:lang w:val="en-US"/>
        </w:rPr>
      </w:pPr>
    </w:p>
  </w:endnote>
  <w:endnote w:id="14">
    <w:p w:rsidR="0075184C" w:rsidRPr="0075184C" w:rsidRDefault="0075184C" w:rsidP="0075184C">
      <w:pPr>
        <w:rPr>
          <w:rFonts w:cs="Arial"/>
          <w:i/>
          <w:sz w:val="18"/>
          <w:szCs w:val="18"/>
          <w:lang w:val="en-US"/>
        </w:rPr>
      </w:pPr>
      <w:r>
        <w:rPr>
          <w:rStyle w:val="Slutnotehenvisning"/>
        </w:rPr>
        <w:endnoteRef/>
      </w:r>
      <w:r w:rsidRPr="0075184C">
        <w:rPr>
          <w:lang w:val="en-US"/>
        </w:rPr>
        <w:t xml:space="preserve"> </w:t>
      </w:r>
      <w:r w:rsidRPr="0075184C">
        <w:rPr>
          <w:rFonts w:cs="Arial"/>
          <w:i/>
          <w:sz w:val="18"/>
          <w:szCs w:val="18"/>
          <w:lang w:val="en-US" w:eastAsia="fr-FR"/>
        </w:rPr>
        <w:t>Example: Correction of a previous notification.</w:t>
      </w:r>
    </w:p>
    <w:p w:rsidR="0075184C" w:rsidRPr="00E50F37" w:rsidRDefault="0075184C" w:rsidP="0075184C">
      <w:pPr>
        <w:pStyle w:val="Slutnoteteks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11" w:rsidRDefault="00A52C1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4F1FC0" w:rsidP="001F1BC0">
          <w:pPr>
            <w:pStyle w:val="00Footer"/>
            <w:rPr>
              <w:lang w:val="fr-FR"/>
            </w:rPr>
          </w:pPr>
        </w:p>
      </w:tc>
      <w:tc>
        <w:tcPr>
          <w:tcW w:w="952" w:type="dxa"/>
        </w:tcPr>
        <w:p w:rsidR="003C4FD4" w:rsidRPr="0084725C" w:rsidRDefault="00A77C87"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F1FC0">
            <w:rPr>
              <w:rFonts w:ascii="Arial" w:hAnsi="Arial" w:cs="Arial"/>
              <w:noProof/>
            </w:rPr>
            <w:t>6</w:t>
          </w:r>
          <w:r w:rsidRPr="0084725C">
            <w:rPr>
              <w:rFonts w:ascii="Arial" w:hAnsi="Arial" w:cs="Arial"/>
              <w:noProof/>
            </w:rPr>
            <w:fldChar w:fldCharType="end"/>
          </w:r>
        </w:p>
      </w:tc>
    </w:tr>
  </w:tbl>
  <w:p w:rsidR="003C4FD4" w:rsidRDefault="004F1FC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71915"/>
      <w:docPartObj>
        <w:docPartGallery w:val="Page Numbers (Bottom of Page)"/>
        <w:docPartUnique/>
      </w:docPartObj>
    </w:sdtPr>
    <w:sdtEndPr>
      <w:rPr>
        <w:noProof/>
      </w:rPr>
    </w:sdtEndPr>
    <w:sdtContent>
      <w:p w:rsidR="003C4FD4" w:rsidRDefault="00A77C87">
        <w:pPr>
          <w:pStyle w:val="Sidefod"/>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F1FC0">
          <w:rPr>
            <w:noProof/>
            <w:sz w:val="20"/>
            <w:szCs w:val="20"/>
          </w:rPr>
          <w:t>1</w:t>
        </w:r>
        <w:r w:rsidRPr="006202FB">
          <w:rPr>
            <w:noProof/>
            <w:sz w:val="20"/>
            <w:szCs w:val="20"/>
          </w:rPr>
          <w:fldChar w:fldCharType="end"/>
        </w:r>
      </w:p>
    </w:sdtContent>
  </w:sdt>
  <w:p w:rsidR="003C4FD4" w:rsidRDefault="004F1FC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84C" w:rsidRDefault="0075184C" w:rsidP="0075184C">
      <w:pPr>
        <w:spacing w:line="240" w:lineRule="auto"/>
      </w:pPr>
      <w:r>
        <w:separator/>
      </w:r>
    </w:p>
  </w:footnote>
  <w:footnote w:type="continuationSeparator" w:id="0">
    <w:p w:rsidR="0075184C" w:rsidRDefault="0075184C" w:rsidP="00751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C11" w:rsidRDefault="00A52C1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5C" w:rsidRDefault="004F1FC0" w:rsidP="0084725C">
    <w:pPr>
      <w:pStyle w:val="Sidehoved"/>
      <w:jc w:val="right"/>
      <w:rPr>
        <w:b/>
        <w:color w:val="FF0000"/>
      </w:rPr>
    </w:pPr>
  </w:p>
  <w:p w:rsidR="003C4FD4" w:rsidRPr="0084725C" w:rsidRDefault="004F1FC0" w:rsidP="003C43F8">
    <w:pPr>
      <w:pStyle w:val="Sidehoved"/>
      <w:tabs>
        <w:tab w:val="left" w:pos="1127"/>
        <w:tab w:val="right" w:pos="9412"/>
      </w:tabs>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279" w:tblpY="1135"/>
      <w:tblOverlap w:val="never"/>
      <w:tblW w:w="0" w:type="auto"/>
      <w:tblLayout w:type="fixed"/>
      <w:tblCellMar>
        <w:left w:w="0" w:type="dxa"/>
        <w:right w:w="0" w:type="dxa"/>
      </w:tblCellMar>
      <w:tblLook w:val="01E0" w:firstRow="1" w:lastRow="1" w:firstColumn="1" w:lastColumn="1" w:noHBand="0" w:noVBand="0"/>
    </w:tblPr>
    <w:tblGrid>
      <w:gridCol w:w="2325"/>
    </w:tblGrid>
    <w:tr w:rsidR="003C4FD4" w:rsidTr="001F1BC0">
      <w:trPr>
        <w:trHeight w:hRule="exact" w:val="567"/>
      </w:trPr>
      <w:tc>
        <w:tcPr>
          <w:tcW w:w="2325" w:type="dxa"/>
        </w:tcPr>
        <w:p w:rsidR="003C4FD4" w:rsidRPr="00CE447A" w:rsidRDefault="004F1FC0" w:rsidP="00CE447A">
          <w:pPr>
            <w:spacing w:after="250" w:line="276" w:lineRule="auto"/>
            <w:rPr>
              <w:rFonts w:cs="Arial"/>
              <w:color w:val="FF0000"/>
              <w:sz w:val="20"/>
            </w:rPr>
          </w:pPr>
        </w:p>
      </w:tc>
    </w:tr>
  </w:tbl>
  <w:p w:rsidR="0075184C" w:rsidRPr="00EE3B01" w:rsidRDefault="00A77C87" w:rsidP="0075184C">
    <w:pPr>
      <w:jc w:val="right"/>
      <w:rPr>
        <w:rFonts w:cs="Arial"/>
        <w:sz w:val="14"/>
        <w:szCs w:val="14"/>
        <w:lang w:val="fr-FR"/>
      </w:rPr>
    </w:pPr>
    <w:r w:rsidRPr="0004418F">
      <w:rPr>
        <w:rFonts w:cs="Arial"/>
        <w:sz w:val="14"/>
        <w:szCs w:val="14"/>
        <w:lang w:val="fr-FR"/>
      </w:rPr>
      <w:t>Version 2</w:t>
    </w:r>
    <w:r w:rsidR="0075184C">
      <w:rPr>
        <w:rFonts w:cs="Arial"/>
        <w:sz w:val="14"/>
        <w:szCs w:val="14"/>
        <w:lang w:val="fr-FR"/>
      </w:rPr>
      <w:t>1112016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063"/>
    <w:multiLevelType w:val="hybridMultilevel"/>
    <w:tmpl w:val="B2DE5BD6"/>
    <w:lvl w:ilvl="0" w:tplc="8D7C73C2">
      <w:start w:val="1"/>
      <w:numFmt w:val="bullet"/>
      <w:lvlText w:val=""/>
      <w:lvlJc w:val="left"/>
      <w:pPr>
        <w:ind w:left="360" w:hanging="360"/>
      </w:pPr>
      <w:rPr>
        <w:rFonts w:ascii="Symbol" w:hAnsi="Symbol" w:hint="default"/>
        <w:sz w:val="3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EC373CB"/>
    <w:multiLevelType w:val="hybridMultilevel"/>
    <w:tmpl w:val="225812EE"/>
    <w:lvl w:ilvl="0" w:tplc="8D7C73C2">
      <w:start w:val="1"/>
      <w:numFmt w:val="bullet"/>
      <w:lvlText w:val=""/>
      <w:lvlJc w:val="left"/>
      <w:pPr>
        <w:ind w:left="360" w:hanging="360"/>
      </w:pPr>
      <w:rPr>
        <w:rFonts w:ascii="Symbol" w:hAnsi="Symbol" w:hint="default"/>
        <w:sz w:val="3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5184C"/>
    <w:rsid w:val="00061655"/>
    <w:rsid w:val="000640EA"/>
    <w:rsid w:val="000E6586"/>
    <w:rsid w:val="00162184"/>
    <w:rsid w:val="001B637F"/>
    <w:rsid w:val="00205C9B"/>
    <w:rsid w:val="00304456"/>
    <w:rsid w:val="003A4BCE"/>
    <w:rsid w:val="003D51DF"/>
    <w:rsid w:val="004F1FC0"/>
    <w:rsid w:val="005326A8"/>
    <w:rsid w:val="0053668E"/>
    <w:rsid w:val="00603033"/>
    <w:rsid w:val="0075184C"/>
    <w:rsid w:val="007E75F4"/>
    <w:rsid w:val="008C6EE4"/>
    <w:rsid w:val="00A52C11"/>
    <w:rsid w:val="00A77C87"/>
    <w:rsid w:val="00A94494"/>
    <w:rsid w:val="00AD490B"/>
    <w:rsid w:val="00B27004"/>
    <w:rsid w:val="00B915A3"/>
    <w:rsid w:val="00DE5ECF"/>
    <w:rsid w:val="00EA193D"/>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05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paragraph" w:styleId="Sidehoved">
    <w:name w:val="header"/>
    <w:basedOn w:val="Normal"/>
    <w:link w:val="SidehovedTegn"/>
    <w:rsid w:val="0075184C"/>
    <w:pPr>
      <w:tabs>
        <w:tab w:val="center" w:pos="4536"/>
        <w:tab w:val="right" w:pos="9072"/>
      </w:tabs>
      <w:spacing w:line="240" w:lineRule="auto"/>
      <w:jc w:val="left"/>
    </w:pPr>
    <w:rPr>
      <w:rFonts w:ascii="Georgia" w:eastAsia="Times New Roman" w:hAnsi="Georgia" w:cs="Times New Roman"/>
      <w:sz w:val="22"/>
      <w:szCs w:val="24"/>
      <w:lang w:val="en-GB" w:eastAsia="de-DE"/>
    </w:rPr>
  </w:style>
  <w:style w:type="character" w:customStyle="1" w:styleId="SidehovedTegn">
    <w:name w:val="Sidehoved Tegn"/>
    <w:basedOn w:val="Standardskrifttypeiafsnit"/>
    <w:link w:val="Sidehoved"/>
    <w:rsid w:val="0075184C"/>
    <w:rPr>
      <w:rFonts w:ascii="Georgia" w:eastAsia="Times New Roman" w:hAnsi="Georgia" w:cs="Times New Roman"/>
      <w:sz w:val="22"/>
      <w:szCs w:val="24"/>
      <w:lang w:val="en-GB" w:eastAsia="de-DE"/>
    </w:rPr>
  </w:style>
  <w:style w:type="paragraph" w:styleId="Sidefod">
    <w:name w:val="footer"/>
    <w:basedOn w:val="Normal"/>
    <w:link w:val="SidefodTegn"/>
    <w:uiPriority w:val="99"/>
    <w:rsid w:val="0075184C"/>
    <w:pPr>
      <w:tabs>
        <w:tab w:val="center" w:pos="4536"/>
        <w:tab w:val="right" w:pos="9072"/>
      </w:tabs>
      <w:spacing w:line="240" w:lineRule="auto"/>
      <w:jc w:val="left"/>
    </w:pPr>
    <w:rPr>
      <w:rFonts w:ascii="Georgia" w:eastAsia="Times New Roman" w:hAnsi="Georgia" w:cs="Times New Roman"/>
      <w:sz w:val="22"/>
      <w:szCs w:val="24"/>
      <w:lang w:val="en-GB" w:eastAsia="de-DE"/>
    </w:rPr>
  </w:style>
  <w:style w:type="character" w:customStyle="1" w:styleId="SidefodTegn">
    <w:name w:val="Sidefod Tegn"/>
    <w:basedOn w:val="Standardskrifttypeiafsnit"/>
    <w:link w:val="Sidefod"/>
    <w:uiPriority w:val="99"/>
    <w:rsid w:val="0075184C"/>
    <w:rPr>
      <w:rFonts w:ascii="Georgia" w:eastAsia="Times New Roman" w:hAnsi="Georgia" w:cs="Times New Roman"/>
      <w:sz w:val="22"/>
      <w:szCs w:val="24"/>
      <w:lang w:val="en-GB" w:eastAsia="de-DE"/>
    </w:rPr>
  </w:style>
  <w:style w:type="paragraph" w:customStyle="1" w:styleId="00Footer">
    <w:name w:val="00_Footer"/>
    <w:basedOn w:val="Normal"/>
    <w:uiPriority w:val="99"/>
    <w:rsid w:val="0075184C"/>
    <w:pPr>
      <w:spacing w:line="200" w:lineRule="exact"/>
      <w:jc w:val="left"/>
    </w:pPr>
    <w:rPr>
      <w:rFonts w:ascii="Georgia" w:eastAsia="Times New Roman" w:hAnsi="Georgia" w:cs="Times New Roman"/>
      <w:color w:val="000000"/>
      <w:sz w:val="16"/>
      <w:szCs w:val="24"/>
      <w:lang w:val="en-GB" w:eastAsia="de-DE"/>
    </w:rPr>
  </w:style>
  <w:style w:type="paragraph" w:customStyle="1" w:styleId="00aPagenumber">
    <w:name w:val="00a_Page number"/>
    <w:basedOn w:val="00Footer"/>
    <w:uiPriority w:val="99"/>
    <w:rsid w:val="0075184C"/>
    <w:pPr>
      <w:spacing w:line="280" w:lineRule="atLeast"/>
      <w:jc w:val="right"/>
    </w:pPr>
    <w:rPr>
      <w:sz w:val="20"/>
    </w:rPr>
  </w:style>
  <w:style w:type="character" w:styleId="Hyperlink">
    <w:name w:val="Hyperlink"/>
    <w:basedOn w:val="Standardskrifttypeiafsnit"/>
    <w:uiPriority w:val="99"/>
    <w:semiHidden/>
    <w:rsid w:val="0075184C"/>
    <w:rPr>
      <w:rFonts w:cs="Times New Roman"/>
      <w:color w:val="0000FF"/>
      <w:u w:val="single"/>
    </w:rPr>
  </w:style>
  <w:style w:type="character" w:styleId="Slutnotehenvisning">
    <w:name w:val="endnote reference"/>
    <w:basedOn w:val="Standardskrifttypeiafsnit"/>
    <w:uiPriority w:val="99"/>
    <w:semiHidden/>
    <w:rsid w:val="0075184C"/>
    <w:rPr>
      <w:rFonts w:cs="Times New Roman"/>
      <w:vertAlign w:val="superscript"/>
    </w:rPr>
  </w:style>
  <w:style w:type="paragraph" w:styleId="Slutnotetekst">
    <w:name w:val="endnote text"/>
    <w:basedOn w:val="Normal"/>
    <w:link w:val="SlutnotetekstTegn"/>
    <w:uiPriority w:val="99"/>
    <w:semiHidden/>
    <w:unhideWhenUsed/>
    <w:rsid w:val="0075184C"/>
    <w:pPr>
      <w:spacing w:line="240" w:lineRule="auto"/>
      <w:jc w:val="left"/>
    </w:pPr>
    <w:rPr>
      <w:rFonts w:ascii="Georgia" w:eastAsia="Times New Roman" w:hAnsi="Georgia" w:cs="Times New Roman"/>
      <w:sz w:val="20"/>
      <w:szCs w:val="20"/>
      <w:lang w:val="en-GB" w:eastAsia="de-DE"/>
    </w:rPr>
  </w:style>
  <w:style w:type="character" w:customStyle="1" w:styleId="SlutnotetekstTegn">
    <w:name w:val="Slutnotetekst Tegn"/>
    <w:basedOn w:val="Standardskrifttypeiafsnit"/>
    <w:link w:val="Slutnotetekst"/>
    <w:uiPriority w:val="99"/>
    <w:semiHidden/>
    <w:rsid w:val="0075184C"/>
    <w:rPr>
      <w:rFonts w:ascii="Georgia" w:eastAsia="Times New Roman" w:hAnsi="Georgia" w:cs="Times New Roman"/>
      <w:sz w:val="20"/>
      <w:szCs w:val="20"/>
      <w:lang w:val="en-GB" w:eastAsia="de-DE"/>
    </w:rPr>
  </w:style>
  <w:style w:type="paragraph" w:styleId="Listeafsnit">
    <w:name w:val="List Paragraph"/>
    <w:basedOn w:val="Normal"/>
    <w:uiPriority w:val="34"/>
    <w:rsid w:val="0075184C"/>
    <w:pPr>
      <w:ind w:left="720"/>
      <w:contextualSpacing/>
    </w:pPr>
  </w:style>
  <w:style w:type="character" w:styleId="Pladsholdertekst">
    <w:name w:val="Placeholder Text"/>
    <w:basedOn w:val="Standardskrifttypeiafsnit"/>
    <w:uiPriority w:val="99"/>
    <w:semiHidden/>
    <w:rsid w:val="004F1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sm.finanstilsynet.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CA"/>
    <w:rsid w:val="00A63F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63F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D6F1-BE06-4B69-B106-D9865D6B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4234</Characters>
  <Application>Microsoft Office Word</Application>
  <DocSecurity>0</DocSecurity>
  <Lines>35</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2016-11-22T11:07:00Z</dcterms:created>
  <dcterms:modified xsi:type="dcterms:W3CDTF">2016-11-22T13:16:00Z</dcterms:modified>
</cp:coreProperties>
</file>