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Tr="006E391C">
        <w:trPr>
          <w:trHeight w:hRule="exact" w:val="3001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Århusgade 110</w:t>
            </w:r>
          </w:p>
          <w:p w:rsidR="006E391C" w:rsidRPr="000F3B74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  <w:r w:rsidRPr="000F3B74">
              <w:rPr>
                <w:sz w:val="16"/>
                <w:szCs w:val="16"/>
              </w:rPr>
              <w:t>2100 København Ø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 xml:space="preserve">Tlf. 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82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Fax</w:t>
            </w:r>
            <w:r w:rsidRPr="000E77E6">
              <w:rPr>
                <w:sz w:val="16"/>
                <w:szCs w:val="16"/>
              </w:rPr>
              <w:tab/>
              <w:t>33</w:t>
            </w:r>
            <w:r w:rsidRPr="000E77E6">
              <w:rPr>
                <w:sz w:val="16"/>
                <w:szCs w:val="16"/>
              </w:rPr>
              <w:tab/>
              <w:t>55</w:t>
            </w:r>
            <w:r w:rsidRPr="000E77E6">
              <w:rPr>
                <w:sz w:val="16"/>
                <w:szCs w:val="16"/>
              </w:rPr>
              <w:tab/>
              <w:t>82</w:t>
            </w:r>
            <w:r w:rsidRPr="000E77E6">
              <w:rPr>
                <w:sz w:val="16"/>
                <w:szCs w:val="16"/>
              </w:rPr>
              <w:tab/>
              <w:t>00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36"/>
                <w:tab w:val="left" w:pos="1162"/>
                <w:tab w:val="left" w:pos="1389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CVR-nr.</w:t>
            </w:r>
            <w:r w:rsidRPr="000E77E6">
              <w:rPr>
                <w:sz w:val="16"/>
                <w:szCs w:val="16"/>
              </w:rPr>
              <w:tab/>
              <w:t>10</w:t>
            </w:r>
            <w:r w:rsidRPr="000E77E6">
              <w:rPr>
                <w:sz w:val="16"/>
                <w:szCs w:val="16"/>
              </w:rPr>
              <w:tab/>
              <w:t>59</w:t>
            </w:r>
            <w:r w:rsidRPr="000E77E6">
              <w:rPr>
                <w:sz w:val="16"/>
                <w:szCs w:val="16"/>
              </w:rPr>
              <w:tab/>
              <w:t>81</w:t>
            </w:r>
            <w:r w:rsidRPr="000E77E6">
              <w:rPr>
                <w:sz w:val="16"/>
                <w:szCs w:val="16"/>
              </w:rPr>
              <w:tab/>
              <w:t>84</w:t>
            </w:r>
          </w:p>
          <w:p w:rsidR="006E391C" w:rsidRPr="000E77E6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0E77E6">
              <w:rPr>
                <w:sz w:val="16"/>
                <w:szCs w:val="16"/>
              </w:rPr>
              <w:t>finanstilsynet@ftnet.dk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  <w:r w:rsidRPr="00C8786C">
              <w:rPr>
                <w:sz w:val="16"/>
                <w:szCs w:val="16"/>
              </w:rPr>
              <w:t>www.finanstilsynet.dk</w:t>
            </w: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sz w:val="16"/>
                <w:szCs w:val="16"/>
              </w:rPr>
            </w:pPr>
          </w:p>
          <w:p w:rsidR="006E391C" w:rsidRDefault="006E391C" w:rsidP="006E391C">
            <w:pPr>
              <w:framePr w:h="8505" w:hRule="exact" w:hSpace="142" w:wrap="around" w:vAnchor="text" w:hAnchor="page" w:x="8931" w:y="1" w:anchorLock="1"/>
              <w:tabs>
                <w:tab w:val="left" w:pos="709"/>
                <w:tab w:val="left" w:pos="993"/>
                <w:tab w:val="left" w:pos="1276"/>
                <w:tab w:val="left" w:pos="1560"/>
              </w:tabs>
              <w:spacing w:line="220" w:lineRule="exact"/>
              <w:jc w:val="left"/>
              <w:rPr>
                <w:rFonts w:ascii="Arial Black" w:hAnsi="Arial Black"/>
                <w:smallCaps/>
                <w:sz w:val="12"/>
                <w:szCs w:val="12"/>
              </w:rPr>
            </w:pPr>
          </w:p>
          <w:p w:rsidR="00163A8D" w:rsidRDefault="006E391C" w:rsidP="006E391C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rFonts w:ascii="Arial Black" w:hAnsi="Arial Black"/>
                <w:smallCaps/>
                <w:sz w:val="12"/>
                <w:szCs w:val="12"/>
              </w:rPr>
              <w:t>erhvervs- og vækstministeriet</w:t>
            </w:r>
          </w:p>
          <w:p w:rsidR="006C7261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End w:id="0"/>
          </w:p>
          <w:p w:rsidR="00163A8D" w:rsidRPr="00F06000" w:rsidRDefault="00F0600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b/>
                <w:color w:val="FF0000"/>
                <w:sz w:val="36"/>
                <w:szCs w:val="36"/>
              </w:rPr>
            </w:pPr>
            <w:bookmarkStart w:id="1" w:name="Kontor"/>
            <w:bookmarkEnd w:id="1"/>
            <w:r w:rsidRPr="00F06000">
              <w:rPr>
                <w:b/>
                <w:color w:val="FF0000"/>
                <w:sz w:val="36"/>
                <w:szCs w:val="36"/>
              </w:rPr>
              <w:t>Adresse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PCASag"/>
            <w:bookmarkEnd w:id="2"/>
          </w:p>
          <w:p w:rsidR="00C5465E" w:rsidRDefault="00C5465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Initialer"/>
            <w:bookmarkEnd w:id="3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</w:tblGrid>
      <w:tr w:rsidR="00163A8D" w:rsidTr="00093DB9">
        <w:trPr>
          <w:cantSplit/>
          <w:trHeight w:val="605"/>
        </w:trPr>
        <w:tc>
          <w:tcPr>
            <w:tcW w:w="2736" w:type="dxa"/>
          </w:tcPr>
          <w:p w:rsidR="00163A8D" w:rsidRDefault="00163A8D"/>
        </w:tc>
      </w:tr>
    </w:tbl>
    <w:p w:rsidR="00163A8D" w:rsidRPr="00CF4780" w:rsidRDefault="00093DB9" w:rsidP="00907B69">
      <w:pPr>
        <w:pStyle w:val="Overskrift1"/>
      </w:pPr>
      <w:bookmarkStart w:id="4" w:name="PCAoverskrift"/>
      <w:bookmarkStart w:id="5" w:name="PEmne"/>
      <w:bookmarkEnd w:id="4"/>
      <w:r>
        <w:t>Ansøgning om forhåndsgodkendelse af tilb</w:t>
      </w:r>
      <w:r>
        <w:t>a</w:t>
      </w:r>
      <w:r>
        <w:t>gebetaling eller indløsning</w:t>
      </w:r>
      <w:bookmarkEnd w:id="5"/>
      <w:r w:rsidR="00F86A68">
        <w:t xml:space="preserve"> af basiskapitalgrundlagselement</w:t>
      </w:r>
      <w:bookmarkStart w:id="6" w:name="_GoBack"/>
      <w:bookmarkEnd w:id="6"/>
    </w:p>
    <w:p w:rsidR="00163A8D" w:rsidRDefault="00163A8D">
      <w:pPr>
        <w:pStyle w:val="Brdtekst"/>
      </w:pPr>
      <w:bookmarkStart w:id="7" w:name="PCAStart"/>
      <w:bookmarkEnd w:id="7"/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Navn på selskabet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093DB9" w:rsidRPr="001834ED" w:rsidTr="009B2254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093DB9" w:rsidRPr="001834ED" w:rsidRDefault="00093DB9" w:rsidP="009B2254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093DB9" w:rsidRPr="00F06000" w:rsidRDefault="00093DB9" w:rsidP="00093DB9">
      <w:pPr>
        <w:rPr>
          <w:b/>
          <w:color w:val="FF0000"/>
        </w:rPr>
      </w:pPr>
      <w:r>
        <w:rPr>
          <w:rFonts w:cs="Arial"/>
        </w:rPr>
        <w:t>Nedenstående skema angiver de redegørelser og dokumenter, som selsk</w:t>
      </w:r>
      <w:r>
        <w:rPr>
          <w:rFonts w:cs="Arial"/>
        </w:rPr>
        <w:t>a</w:t>
      </w:r>
      <w:r>
        <w:rPr>
          <w:rFonts w:cs="Arial"/>
        </w:rPr>
        <w:t xml:space="preserve">bet skal indsende i </w:t>
      </w:r>
      <w:r w:rsidRPr="00E10B11">
        <w:rPr>
          <w:rFonts w:cs="Arial"/>
        </w:rPr>
        <w:t xml:space="preserve">forbindelse med ansøgningen om </w:t>
      </w:r>
      <w:r w:rsidRPr="00E10B11">
        <w:t>godkendelse af tilb</w:t>
      </w:r>
      <w:r w:rsidRPr="00E10B11">
        <w:t>a</w:t>
      </w:r>
      <w:r>
        <w:t>g</w:t>
      </w:r>
      <w:r w:rsidR="006E391C">
        <w:t xml:space="preserve">ebetaling eller indløsning, </w:t>
      </w:r>
      <w:r w:rsidRPr="00E003B4">
        <w:t>jf. artikel 71, stk. 1, litra h, 71, stk. 2, 73, stk. 1, litra d, 73, stk. 2, 77, stk. 1, litra d, eller 77, stk. 2,</w:t>
      </w:r>
      <w:r w:rsidR="006E391C">
        <w:t xml:space="preserve"> samt art. 331, stk. 1,</w:t>
      </w:r>
      <w:r w:rsidRPr="00E003B4">
        <w:t xml:space="preserve"> i Kommissionens delegerede forordning (EU) 2015/35</w:t>
      </w:r>
      <w:r>
        <w:t>.</w:t>
      </w:r>
    </w:p>
    <w:p w:rsidR="00093DB9" w:rsidRPr="00E003B4" w:rsidRDefault="00093DB9" w:rsidP="00093DB9">
      <w:pPr>
        <w:rPr>
          <w:rFonts w:cs="Arial"/>
        </w:rPr>
      </w:pPr>
    </w:p>
    <w:p w:rsidR="00093DB9" w:rsidRPr="00E003B4" w:rsidRDefault="00093DB9" w:rsidP="00093DB9">
      <w:pPr>
        <w:rPr>
          <w:rFonts w:cs="Arial"/>
        </w:rPr>
      </w:pPr>
      <w:r>
        <w:rPr>
          <w:rFonts w:cs="Arial"/>
        </w:rPr>
        <w:t>S</w:t>
      </w:r>
      <w:r w:rsidRPr="00E003B4">
        <w:rPr>
          <w:rFonts w:cs="Arial"/>
        </w:rPr>
        <w:t>elskab</w:t>
      </w:r>
      <w:r>
        <w:rPr>
          <w:rFonts w:cs="Arial"/>
        </w:rPr>
        <w:t>et</w:t>
      </w:r>
      <w:r w:rsidRPr="00E003B4">
        <w:rPr>
          <w:rFonts w:cs="Arial"/>
        </w:rPr>
        <w:t xml:space="preserve"> bør </w:t>
      </w:r>
      <w:r>
        <w:rPr>
          <w:rFonts w:cs="Arial"/>
        </w:rPr>
        <w:t xml:space="preserve">indsende ansøgningsskemaet </w:t>
      </w:r>
      <w:r w:rsidRPr="00E003B4">
        <w:rPr>
          <w:rFonts w:cs="Arial"/>
        </w:rPr>
        <w:t xml:space="preserve">tre måneder inden (afhængigt af hvad der indtræffer først): </w:t>
      </w:r>
    </w:p>
    <w:p w:rsidR="00093DB9" w:rsidRPr="00E003B4" w:rsidRDefault="00093DB9" w:rsidP="00093DB9">
      <w:pPr>
        <w:pStyle w:val="Listeafsnit"/>
        <w:numPr>
          <w:ilvl w:val="0"/>
          <w:numId w:val="9"/>
        </w:numPr>
        <w:rPr>
          <w:rFonts w:cs="Arial"/>
        </w:rPr>
      </w:pPr>
      <w:r>
        <w:rPr>
          <w:rFonts w:cs="Arial"/>
        </w:rPr>
        <w:t>D</w:t>
      </w:r>
      <w:r w:rsidRPr="00E003B4">
        <w:rPr>
          <w:rFonts w:cs="Arial"/>
        </w:rPr>
        <w:t xml:space="preserve">en påkrævede kontraktuelle orientering af ejeren af elementet om tilbagebetaling eller indløsning </w:t>
      </w:r>
    </w:p>
    <w:p w:rsidR="00093DB9" w:rsidRPr="00E003B4" w:rsidRDefault="00093DB9" w:rsidP="00093DB9">
      <w:pPr>
        <w:pStyle w:val="Listeafsnit"/>
        <w:numPr>
          <w:ilvl w:val="0"/>
          <w:numId w:val="9"/>
        </w:numPr>
        <w:rPr>
          <w:rFonts w:cs="Arial"/>
        </w:rPr>
      </w:pPr>
      <w:r>
        <w:rPr>
          <w:rFonts w:cs="Arial"/>
        </w:rPr>
        <w:t>D</w:t>
      </w:r>
      <w:r w:rsidRPr="00E003B4">
        <w:rPr>
          <w:rFonts w:cs="Arial"/>
        </w:rPr>
        <w:t xml:space="preserve">en foreslåede tilbagebetalings- eller indløsningsdato. </w:t>
      </w:r>
    </w:p>
    <w:p w:rsidR="00093DB9" w:rsidRDefault="00093DB9" w:rsidP="00093DB9">
      <w:pPr>
        <w:rPr>
          <w:rFonts w:cs="Arial"/>
        </w:rPr>
      </w:pPr>
    </w:p>
    <w:p w:rsidR="00093DB9" w:rsidRDefault="00093DB9" w:rsidP="00093DB9">
      <w:pPr>
        <w:rPr>
          <w:rFonts w:cs="Arial"/>
        </w:rPr>
      </w:pPr>
      <w:r>
        <w:rPr>
          <w:rFonts w:cs="Arial"/>
        </w:rPr>
        <w:t>Ansøgningen skal behandles af selskabets bestyrelse, inden den indsendes til Finanstilsynet.</w:t>
      </w:r>
    </w:p>
    <w:p w:rsidR="00093DB9" w:rsidRDefault="00093DB9" w:rsidP="00093DB9">
      <w:pPr>
        <w:rPr>
          <w:rFonts w:cs="Arial"/>
        </w:rPr>
      </w:pPr>
    </w:p>
    <w:p w:rsidR="00093DB9" w:rsidRDefault="00093DB9" w:rsidP="00093DB9">
      <w:pPr>
        <w:rPr>
          <w:rFonts w:cs="Arial"/>
        </w:rPr>
      </w:pPr>
      <w:r>
        <w:rPr>
          <w:rFonts w:cs="Arial"/>
        </w:rPr>
        <w:t>Finanstilsynet forventer, at behandlingen af ansøgningen kan afsluttes s</w:t>
      </w:r>
      <w:r>
        <w:rPr>
          <w:rFonts w:cs="Arial"/>
        </w:rPr>
        <w:t>e</w:t>
      </w:r>
      <w:r>
        <w:rPr>
          <w:rFonts w:cs="Arial"/>
        </w:rPr>
        <w:t xml:space="preserve">nest 3 måneder efter modtagelsen. </w:t>
      </w:r>
    </w:p>
    <w:p w:rsidR="00093DB9" w:rsidRDefault="00093DB9" w:rsidP="00093DB9"/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093DB9" w:rsidP="00093DB9">
            <w:pPr>
              <w:pStyle w:val="Listeafsnit"/>
              <w:numPr>
                <w:ilvl w:val="0"/>
                <w:numId w:val="8"/>
              </w:numPr>
              <w:ind w:left="318" w:right="453" w:hanging="284"/>
              <w:jc w:val="lef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Selskabet skal dokumentere de økonomiske konsekve</w:t>
            </w:r>
            <w:r>
              <w:rPr>
                <w:b/>
                <w:sz w:val="22"/>
                <w:szCs w:val="22"/>
                <w:lang w:val="da-DK"/>
              </w:rPr>
              <w:t>n</w:t>
            </w:r>
            <w:r>
              <w:rPr>
                <w:b/>
                <w:sz w:val="22"/>
                <w:szCs w:val="22"/>
                <w:lang w:val="da-DK"/>
              </w:rPr>
              <w:t>ser af en tilbagebetaling eller indløsning af basiskapita</w:t>
            </w:r>
            <w:r>
              <w:rPr>
                <w:b/>
                <w:sz w:val="22"/>
                <w:szCs w:val="22"/>
                <w:lang w:val="da-DK"/>
              </w:rPr>
              <w:t>l</w:t>
            </w:r>
            <w:r>
              <w:rPr>
                <w:b/>
                <w:sz w:val="22"/>
                <w:szCs w:val="22"/>
                <w:lang w:val="da-DK"/>
              </w:rPr>
              <w:t>grundlagselementet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093DB9" w:rsidRDefault="00093DB9" w:rsidP="009B2254">
            <w:pPr>
              <w:spacing w:line="240" w:lineRule="auto"/>
              <w:rPr>
                <w:sz w:val="22"/>
                <w:szCs w:val="22"/>
              </w:rPr>
            </w:pPr>
            <w:r w:rsidRPr="002C2B1A">
              <w:rPr>
                <w:sz w:val="22"/>
                <w:szCs w:val="22"/>
                <w:lang w:val="da-DK"/>
              </w:rPr>
              <w:t>Dokumentationen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06000">
              <w:rPr>
                <w:sz w:val="22"/>
                <w:szCs w:val="22"/>
              </w:rPr>
              <w:t>skal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indeholde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93DB9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velbegrundet forklaring for baggrunden for tilbagebetali</w:t>
            </w:r>
            <w:r>
              <w:rPr>
                <w:sz w:val="22"/>
                <w:szCs w:val="22"/>
                <w:lang w:val="da-DK"/>
              </w:rPr>
              <w:t>n</w:t>
            </w:r>
            <w:r>
              <w:rPr>
                <w:sz w:val="22"/>
                <w:szCs w:val="22"/>
                <w:lang w:val="da-DK"/>
              </w:rPr>
              <w:t>gen/indløsningen.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 w:rsidRPr="00D95F86">
              <w:rPr>
                <w:sz w:val="22"/>
                <w:szCs w:val="22"/>
                <w:lang w:val="da-DK"/>
              </w:rPr>
              <w:t>En beskrivelse af selskabets basiskapitalgrundlagselementer før og efter</w:t>
            </w:r>
            <w:r>
              <w:rPr>
                <w:sz w:val="22"/>
                <w:szCs w:val="22"/>
                <w:lang w:val="da-DK"/>
              </w:rPr>
              <w:t xml:space="preserve"> tilbagebetalingen/indløsningen</w:t>
            </w:r>
            <w:r w:rsidRPr="00D95F86">
              <w:rPr>
                <w:sz w:val="22"/>
                <w:szCs w:val="22"/>
                <w:lang w:val="da-DK"/>
              </w:rPr>
              <w:t>.</w:t>
            </w:r>
          </w:p>
          <w:p w:rsidR="00093DB9" w:rsidRPr="00D95F86" w:rsidRDefault="00F418B2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</w:t>
            </w:r>
            <w:r w:rsidR="00093DB9">
              <w:rPr>
                <w:sz w:val="22"/>
                <w:szCs w:val="22"/>
                <w:lang w:val="da-DK"/>
              </w:rPr>
              <w:t>els</w:t>
            </w:r>
            <w:r>
              <w:rPr>
                <w:sz w:val="22"/>
                <w:szCs w:val="22"/>
                <w:lang w:val="da-DK"/>
              </w:rPr>
              <w:t>kabets kapitalplan. Kapitalplanen</w:t>
            </w:r>
            <w:r w:rsidR="00093DB9">
              <w:rPr>
                <w:sz w:val="22"/>
                <w:szCs w:val="22"/>
                <w:lang w:val="da-DK"/>
              </w:rPr>
              <w:t xml:space="preserve"> skal indeholde stress- og følsomhedsanalyser samt en vurdering af,</w:t>
            </w:r>
            <w:r w:rsidR="00093DB9" w:rsidRPr="00D95F86">
              <w:rPr>
                <w:sz w:val="22"/>
                <w:szCs w:val="22"/>
                <w:lang w:val="da-DK"/>
              </w:rPr>
              <w:t xml:space="preserve"> hvordan tilbag</w:t>
            </w:r>
            <w:r w:rsidR="00093DB9" w:rsidRPr="00D95F86">
              <w:rPr>
                <w:sz w:val="22"/>
                <w:szCs w:val="22"/>
                <w:lang w:val="da-DK"/>
              </w:rPr>
              <w:t>e</w:t>
            </w:r>
            <w:r w:rsidR="00093DB9" w:rsidRPr="00D95F86">
              <w:rPr>
                <w:sz w:val="22"/>
                <w:szCs w:val="22"/>
                <w:lang w:val="da-DK"/>
              </w:rPr>
              <w:t xml:space="preserve">købet eller indløsningen stemmer overens med selskabets plan for kapitalstruktur på 3 til 5 års sigt. </w:t>
            </w:r>
          </w:p>
          <w:p w:rsidR="00093DB9" w:rsidRPr="00D95F86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En opdateret vurdering af selskabets egen risiko og solvens, såfremt bestyrelsen vurderer, at der er behov herfor.</w:t>
            </w:r>
            <w:r w:rsidRPr="00D95F86">
              <w:rPr>
                <w:sz w:val="22"/>
                <w:szCs w:val="22"/>
                <w:lang w:val="da-DK"/>
              </w:rPr>
              <w:t xml:space="preserve"> </w:t>
            </w:r>
          </w:p>
          <w:p w:rsidR="00093DB9" w:rsidRDefault="00093DB9" w:rsidP="00093DB9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beskrivelse af s</w:t>
            </w:r>
            <w:r w:rsidRPr="00E003B4">
              <w:rPr>
                <w:sz w:val="22"/>
                <w:szCs w:val="22"/>
                <w:lang w:val="da-DK"/>
              </w:rPr>
              <w:t>elskabets evne til at f</w:t>
            </w:r>
            <w:r>
              <w:rPr>
                <w:sz w:val="22"/>
                <w:szCs w:val="22"/>
                <w:lang w:val="da-DK"/>
              </w:rPr>
              <w:t>remskaffe yderligere kapital</w:t>
            </w:r>
            <w:r w:rsidRPr="00E003B4">
              <w:rPr>
                <w:sz w:val="22"/>
                <w:szCs w:val="22"/>
                <w:lang w:val="da-DK"/>
              </w:rPr>
              <w:t>, hvis det er nødvendigt</w:t>
            </w:r>
            <w:r>
              <w:rPr>
                <w:sz w:val="22"/>
                <w:szCs w:val="22"/>
                <w:lang w:val="da-DK"/>
              </w:rPr>
              <w:t xml:space="preserve">, i forhold til </w:t>
            </w:r>
            <w:r w:rsidRPr="00E003B4">
              <w:rPr>
                <w:sz w:val="22"/>
                <w:szCs w:val="22"/>
                <w:lang w:val="da-DK"/>
              </w:rPr>
              <w:t>de bredere økon</w:t>
            </w:r>
            <w:r w:rsidRPr="00E003B4">
              <w:rPr>
                <w:sz w:val="22"/>
                <w:szCs w:val="22"/>
                <w:lang w:val="da-DK"/>
              </w:rPr>
              <w:t>o</w:t>
            </w:r>
            <w:r>
              <w:rPr>
                <w:sz w:val="22"/>
                <w:szCs w:val="22"/>
                <w:lang w:val="da-DK"/>
              </w:rPr>
              <w:t>miske forhold (præmieforhøjelser, omkostningsrelationer, s</w:t>
            </w:r>
            <w:r>
              <w:rPr>
                <w:sz w:val="22"/>
                <w:szCs w:val="22"/>
                <w:lang w:val="da-DK"/>
              </w:rPr>
              <w:t>a</w:t>
            </w:r>
            <w:r>
              <w:rPr>
                <w:sz w:val="22"/>
                <w:szCs w:val="22"/>
                <w:lang w:val="da-DK"/>
              </w:rPr>
              <w:t>neringer) og selskabets</w:t>
            </w:r>
            <w:r w:rsidRPr="00E003B4">
              <w:rPr>
                <w:sz w:val="22"/>
                <w:szCs w:val="22"/>
                <w:lang w:val="da-DK"/>
              </w:rPr>
              <w:t xml:space="preserve"> adgang til kapitalmarkeder og andre kilder til kapitalgrundlag. </w:t>
            </w:r>
          </w:p>
          <w:p w:rsidR="00093DB9" w:rsidRPr="007C0D80" w:rsidRDefault="00093DB9" w:rsidP="00F06000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En </w:t>
            </w:r>
            <w:r w:rsidR="00F06000">
              <w:rPr>
                <w:sz w:val="22"/>
                <w:szCs w:val="22"/>
                <w:lang w:val="da-DK"/>
              </w:rPr>
              <w:t>tidsangivelse</w:t>
            </w:r>
            <w:r w:rsidR="006E391C">
              <w:rPr>
                <w:sz w:val="22"/>
                <w:szCs w:val="22"/>
                <w:lang w:val="da-DK"/>
              </w:rPr>
              <w:t xml:space="preserve"> </w:t>
            </w:r>
            <w:r w:rsidR="00F06000">
              <w:rPr>
                <w:sz w:val="22"/>
                <w:szCs w:val="22"/>
                <w:lang w:val="da-DK"/>
              </w:rPr>
              <w:t>for</w:t>
            </w:r>
            <w:r>
              <w:rPr>
                <w:sz w:val="22"/>
                <w:szCs w:val="22"/>
                <w:lang w:val="da-DK"/>
              </w:rPr>
              <w:t xml:space="preserve"> hvornår tilbagebetalingen/indløsningen vil finde sted.</w:t>
            </w:r>
          </w:p>
        </w:tc>
      </w:tr>
      <w:tr w:rsidR="00093DB9" w:rsidRPr="001834ED" w:rsidTr="009B2254">
        <w:tc>
          <w:tcPr>
            <w:tcW w:w="7088" w:type="dxa"/>
            <w:tcMar>
              <w:top w:w="57" w:type="dxa"/>
              <w:bottom w:w="57" w:type="dxa"/>
            </w:tcMar>
          </w:tcPr>
          <w:p w:rsidR="00093DB9" w:rsidRPr="009A32D1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lastRenderedPageBreak/>
              <w:t>Redegørelse/henvisning til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  <w:lang w:val="da-DK"/>
              </w:rPr>
            </w:pPr>
          </w:p>
          <w:p w:rsidR="00093DB9" w:rsidRPr="002C2B1A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DD47BC" w:rsidRDefault="00093DB9" w:rsidP="00093DB9">
            <w:pPr>
              <w:pStyle w:val="Listeafsnit"/>
              <w:numPr>
                <w:ilvl w:val="0"/>
                <w:numId w:val="8"/>
              </w:numPr>
              <w:ind w:left="318" w:hanging="284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Anden relevant information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093DB9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  <w:p w:rsidR="00093DB9" w:rsidRPr="00DD47BC" w:rsidRDefault="00093DB9" w:rsidP="009B2254">
            <w:pPr>
              <w:pStyle w:val="Listeafsnit"/>
              <w:numPr>
                <w:ilvl w:val="0"/>
                <w:numId w:val="0"/>
              </w:numPr>
              <w:ind w:left="360"/>
              <w:rPr>
                <w:sz w:val="22"/>
                <w:szCs w:val="22"/>
                <w:lang w:val="da-DK"/>
              </w:rPr>
            </w:pPr>
          </w:p>
        </w:tc>
      </w:tr>
      <w:tr w:rsidR="00093DB9" w:rsidRPr="001834ED" w:rsidTr="009B2254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93DB9" w:rsidRPr="00C74A26" w:rsidRDefault="00093DB9" w:rsidP="00093DB9">
            <w:pPr>
              <w:pStyle w:val="Listeafsnit"/>
              <w:numPr>
                <w:ilvl w:val="0"/>
                <w:numId w:val="8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Dokumentation for at bestyrelsen har godkendt ansøgnin</w:t>
            </w:r>
            <w:r>
              <w:rPr>
                <w:b/>
                <w:sz w:val="22"/>
                <w:szCs w:val="22"/>
                <w:lang w:val="da-DK"/>
              </w:rPr>
              <w:t>gen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Pr="007C0D80" w:rsidRDefault="00093DB9" w:rsidP="009B2254">
            <w:pPr>
              <w:spacing w:before="100" w:beforeAutospacing="1" w:after="100" w:afterAutospacing="1"/>
              <w:rPr>
                <w:sz w:val="22"/>
                <w:szCs w:val="22"/>
                <w:lang w:val="da-DK"/>
              </w:rPr>
            </w:pPr>
            <w:r w:rsidRPr="007C0D80">
              <w:rPr>
                <w:sz w:val="22"/>
                <w:szCs w:val="22"/>
                <w:lang w:val="da-DK"/>
              </w:rPr>
              <w:t>Dokumentationen</w:t>
            </w:r>
            <w:r>
              <w:rPr>
                <w:sz w:val="22"/>
                <w:szCs w:val="22"/>
                <w:lang w:val="da-DK"/>
              </w:rPr>
              <w:t xml:space="preserve"> skal indeholde bestyrelsens eksplicitte vurdering af selskabets mulighed for at fremskaffe nye kapitalgrundlagselementer af samme art, kvalitet og kapitalklasse. </w:t>
            </w:r>
          </w:p>
        </w:tc>
      </w:tr>
      <w:tr w:rsidR="00093DB9" w:rsidRPr="001834ED" w:rsidTr="009B2254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93DB9" w:rsidRDefault="00093DB9" w:rsidP="009B2254">
            <w:pPr>
              <w:pStyle w:val="Listeafsnit"/>
              <w:spacing w:before="100" w:beforeAutospacing="1" w:after="100" w:afterAutospacing="1"/>
              <w:ind w:left="459" w:hanging="425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093DB9" w:rsidRPr="00017D95" w:rsidRDefault="00093DB9" w:rsidP="009B2254">
            <w:pPr>
              <w:pStyle w:val="Listeafsnit"/>
              <w:numPr>
                <w:ilvl w:val="0"/>
                <w:numId w:val="0"/>
              </w:numPr>
              <w:spacing w:before="100" w:beforeAutospacing="1" w:after="100" w:afterAutospacing="1"/>
              <w:ind w:left="459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093DB9" w:rsidRPr="001834ED" w:rsidRDefault="00093DB9" w:rsidP="00093DB9">
      <w:pPr>
        <w:spacing w:line="360" w:lineRule="auto"/>
        <w:rPr>
          <w:rFonts w:cs="Arial"/>
          <w:b/>
        </w:rPr>
      </w:pPr>
    </w:p>
    <w:p w:rsidR="00093DB9" w:rsidRPr="001834ED" w:rsidRDefault="00093DB9" w:rsidP="00093DB9">
      <w:pPr>
        <w:rPr>
          <w:rFonts w:cs="Arial"/>
        </w:rPr>
      </w:pPr>
    </w:p>
    <w:p w:rsidR="00093DB9" w:rsidRDefault="00093DB9" w:rsidP="00093DB9">
      <w:pPr>
        <w:pStyle w:val="Brdtekst"/>
      </w:pPr>
      <w:r w:rsidRPr="00781CBD">
        <w:rPr>
          <w:b/>
        </w:rPr>
        <w:t>Kontaktperson</w:t>
      </w:r>
      <w:r w:rsidR="00F06000">
        <w:rPr>
          <w:b/>
        </w:rPr>
        <w:t xml:space="preserve"> hos selskabet</w:t>
      </w:r>
      <w:r>
        <w:t xml:space="preserve">: </w:t>
      </w:r>
    </w:p>
    <w:p w:rsidR="00093DB9" w:rsidRDefault="00093DB9" w:rsidP="00093DB9"/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277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C6" w:rsidRDefault="006819C6">
      <w:pPr>
        <w:spacing w:line="240" w:lineRule="auto"/>
      </w:pPr>
      <w:r>
        <w:separator/>
      </w:r>
    </w:p>
  </w:endnote>
  <w:endnote w:type="continuationSeparator" w:id="0">
    <w:p w:rsidR="006819C6" w:rsidRDefault="0068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8" w:rsidRPr="00BF501F" w:rsidRDefault="002F13A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C6" w:rsidRDefault="006819C6">
      <w:pPr>
        <w:spacing w:line="240" w:lineRule="auto"/>
      </w:pPr>
      <w:r>
        <w:separator/>
      </w:r>
    </w:p>
  </w:footnote>
  <w:footnote w:type="continuationSeparator" w:id="0">
    <w:p w:rsidR="006819C6" w:rsidRDefault="0068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B9" w:rsidRDefault="00093DB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86A68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86A68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643B7"/>
    <w:multiLevelType w:val="hybridMultilevel"/>
    <w:tmpl w:val="4DD2C1D6"/>
    <w:lvl w:ilvl="0" w:tplc="04060011">
      <w:start w:val="1"/>
      <w:numFmt w:val="decimal"/>
      <w:lvlText w:val="%1)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267167"/>
    <w:multiLevelType w:val="hybridMultilevel"/>
    <w:tmpl w:val="90B4ED5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C91FD5"/>
    <w:multiLevelType w:val="hybridMultilevel"/>
    <w:tmpl w:val="7AC42E58"/>
    <w:lvl w:ilvl="0" w:tplc="040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093DB9"/>
    <w:rsid w:val="0002744C"/>
    <w:rsid w:val="00093DB9"/>
    <w:rsid w:val="000A3975"/>
    <w:rsid w:val="000C0183"/>
    <w:rsid w:val="000C13A3"/>
    <w:rsid w:val="00120388"/>
    <w:rsid w:val="00163A8D"/>
    <w:rsid w:val="001E4A6B"/>
    <w:rsid w:val="00230D73"/>
    <w:rsid w:val="00260676"/>
    <w:rsid w:val="002779D0"/>
    <w:rsid w:val="002A499B"/>
    <w:rsid w:val="002E6F9A"/>
    <w:rsid w:val="002F13A8"/>
    <w:rsid w:val="00305117"/>
    <w:rsid w:val="00331EDD"/>
    <w:rsid w:val="003E3B9B"/>
    <w:rsid w:val="003E4349"/>
    <w:rsid w:val="0044286B"/>
    <w:rsid w:val="005439BC"/>
    <w:rsid w:val="00586C74"/>
    <w:rsid w:val="0063469C"/>
    <w:rsid w:val="0063728A"/>
    <w:rsid w:val="006724DD"/>
    <w:rsid w:val="006819C6"/>
    <w:rsid w:val="006C3314"/>
    <w:rsid w:val="006C7261"/>
    <w:rsid w:val="006E391C"/>
    <w:rsid w:val="006F510B"/>
    <w:rsid w:val="00700253"/>
    <w:rsid w:val="00703E18"/>
    <w:rsid w:val="007E5F37"/>
    <w:rsid w:val="008A0C79"/>
    <w:rsid w:val="00904F2B"/>
    <w:rsid w:val="00907B69"/>
    <w:rsid w:val="00911391"/>
    <w:rsid w:val="009C70F7"/>
    <w:rsid w:val="00A30B33"/>
    <w:rsid w:val="00AA185B"/>
    <w:rsid w:val="00B23B9D"/>
    <w:rsid w:val="00B57A46"/>
    <w:rsid w:val="00BA2345"/>
    <w:rsid w:val="00BF501F"/>
    <w:rsid w:val="00C12726"/>
    <w:rsid w:val="00C170AE"/>
    <w:rsid w:val="00C5465E"/>
    <w:rsid w:val="00CD5C1F"/>
    <w:rsid w:val="00CF4780"/>
    <w:rsid w:val="00DB1666"/>
    <w:rsid w:val="00E2456A"/>
    <w:rsid w:val="00E34E1B"/>
    <w:rsid w:val="00E44B59"/>
    <w:rsid w:val="00EC3FFA"/>
    <w:rsid w:val="00F06000"/>
    <w:rsid w:val="00F418B2"/>
    <w:rsid w:val="00F86A68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1"/>
    <w:rsid w:val="00093DB9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093DB9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2C9-81EF-4BBB-9739-A680A32E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50</TotalTime>
  <Pages>2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Overballe-Nielsen (FT)</dc:creator>
  <cp:lastModifiedBy>Simon Overballe-Nielsen (FT)</cp:lastModifiedBy>
  <cp:revision>4</cp:revision>
  <cp:lastPrinted>2002-07-26T09:51:00Z</cp:lastPrinted>
  <dcterms:created xsi:type="dcterms:W3CDTF">2016-03-02T09:44:00Z</dcterms:created>
  <dcterms:modified xsi:type="dcterms:W3CDTF">2016-03-02T13:56:00Z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Ansøgning om forhåndsgodkendelse af tilbagebetaling eller indløsning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/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